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F8370" w14:textId="51A3A1D0" w:rsidR="00A83260" w:rsidRPr="00BE4481" w:rsidRDefault="00A83260" w:rsidP="00A83260">
      <w:pPr>
        <w:spacing w:after="0" w:line="360" w:lineRule="auto"/>
        <w:jc w:val="center"/>
        <w:rPr>
          <w:rFonts w:ascii="Times New Roman" w:eastAsia="Arial" w:hAnsi="Times New Roman" w:cs="Times New Roman"/>
          <w:b/>
          <w:color w:val="FF3636"/>
          <w:sz w:val="72"/>
          <w:szCs w:val="48"/>
          <w:u w:val="single"/>
        </w:rPr>
      </w:pPr>
      <w:r w:rsidRPr="00BE4481">
        <w:rPr>
          <w:rFonts w:ascii="Times New Roman" w:eastAsia="Arial" w:hAnsi="Times New Roman" w:cs="Times New Roman"/>
          <w:b/>
          <w:color w:val="FF3636"/>
          <w:sz w:val="72"/>
          <w:szCs w:val="48"/>
          <w:highlight w:val="yellow"/>
          <w:u w:val="single"/>
        </w:rPr>
        <w:t>EMENDAMENTI RF</w:t>
      </w:r>
      <w:r w:rsidR="00615917">
        <w:rPr>
          <w:rFonts w:ascii="Times New Roman" w:eastAsia="Arial" w:hAnsi="Times New Roman" w:cs="Times New Roman"/>
          <w:b/>
          <w:color w:val="FF3636"/>
          <w:sz w:val="72"/>
          <w:szCs w:val="48"/>
          <w:u w:val="single"/>
        </w:rPr>
        <w:t xml:space="preserve"> </w:t>
      </w:r>
      <w:r w:rsidR="00615917" w:rsidRPr="00615917">
        <w:rPr>
          <w:rFonts w:ascii="Times New Roman" w:eastAsia="Arial" w:hAnsi="Times New Roman" w:cs="Times New Roman"/>
          <w:b/>
          <w:color w:val="FF3636"/>
          <w:sz w:val="72"/>
          <w:szCs w:val="48"/>
          <w:highlight w:val="yellow"/>
          <w:u w:val="single"/>
        </w:rPr>
        <w:t>A FINANZIARIA</w:t>
      </w:r>
    </w:p>
    <w:p w14:paraId="6E626814" w14:textId="77777777" w:rsidR="00615917" w:rsidRDefault="00615917" w:rsidP="00A83260">
      <w:pPr>
        <w:pStyle w:val="Paragrafoelenco"/>
        <w:tabs>
          <w:tab w:val="left" w:pos="0"/>
        </w:tabs>
        <w:spacing w:after="0" w:line="360" w:lineRule="auto"/>
        <w:ind w:left="0"/>
        <w:jc w:val="center"/>
        <w:rPr>
          <w:rFonts w:ascii="Times New Roman" w:hAnsi="Times New Roman" w:cs="Times New Roman"/>
          <w:b/>
          <w:color w:val="0000FF"/>
          <w:sz w:val="26"/>
          <w:szCs w:val="26"/>
          <w:u w:val="single"/>
        </w:rPr>
      </w:pPr>
    </w:p>
    <w:p w14:paraId="503FB825" w14:textId="378842D3" w:rsidR="00615917" w:rsidRPr="00615917" w:rsidRDefault="00615917" w:rsidP="00A83260">
      <w:pPr>
        <w:pStyle w:val="Paragrafoelenco"/>
        <w:tabs>
          <w:tab w:val="left" w:pos="0"/>
        </w:tabs>
        <w:spacing w:after="0" w:line="360" w:lineRule="auto"/>
        <w:ind w:left="0"/>
        <w:jc w:val="center"/>
        <w:rPr>
          <w:rFonts w:ascii="Times New Roman" w:hAnsi="Times New Roman" w:cs="Times New Roman"/>
          <w:b/>
          <w:color w:val="FF0000"/>
          <w:sz w:val="40"/>
          <w:szCs w:val="40"/>
          <w:u w:val="single"/>
        </w:rPr>
      </w:pPr>
      <w:r w:rsidRPr="00615917">
        <w:rPr>
          <w:rFonts w:ascii="Times New Roman" w:hAnsi="Times New Roman" w:cs="Times New Roman"/>
          <w:b/>
          <w:color w:val="FF0000"/>
          <w:sz w:val="40"/>
          <w:szCs w:val="40"/>
          <w:u w:val="single"/>
        </w:rPr>
        <w:t>TEMA ENERGETICI/BOLLETTE</w:t>
      </w:r>
    </w:p>
    <w:p w14:paraId="39F500C5" w14:textId="66D7E067" w:rsidR="00A83260" w:rsidRDefault="00A83260" w:rsidP="00A83260">
      <w:pPr>
        <w:pStyle w:val="Paragrafoelenco"/>
        <w:tabs>
          <w:tab w:val="left" w:pos="0"/>
        </w:tabs>
        <w:spacing w:after="0" w:line="360" w:lineRule="auto"/>
        <w:ind w:left="0"/>
        <w:jc w:val="center"/>
        <w:rPr>
          <w:rFonts w:ascii="Times New Roman" w:hAnsi="Times New Roman" w:cs="Times New Roman"/>
          <w:b/>
          <w:color w:val="0000FF"/>
          <w:sz w:val="26"/>
          <w:szCs w:val="26"/>
          <w:u w:val="single"/>
        </w:rPr>
      </w:pPr>
      <w:r>
        <w:rPr>
          <w:rFonts w:ascii="Times New Roman" w:hAnsi="Times New Roman" w:cs="Times New Roman"/>
          <w:b/>
          <w:color w:val="0000FF"/>
          <w:sz w:val="26"/>
          <w:szCs w:val="26"/>
          <w:u w:val="single"/>
        </w:rPr>
        <w:t xml:space="preserve">Articolo </w:t>
      </w:r>
      <w:r w:rsidR="00615917">
        <w:rPr>
          <w:rFonts w:ascii="Times New Roman" w:hAnsi="Times New Roman" w:cs="Times New Roman"/>
          <w:b/>
          <w:color w:val="0000FF"/>
          <w:sz w:val="26"/>
          <w:szCs w:val="26"/>
          <w:u w:val="single"/>
        </w:rPr>
        <w:t>1</w:t>
      </w:r>
      <w:r w:rsidR="0010766E">
        <w:rPr>
          <w:rFonts w:ascii="Times New Roman" w:hAnsi="Times New Roman" w:cs="Times New Roman"/>
          <w:b/>
          <w:color w:val="0000FF"/>
          <w:sz w:val="26"/>
          <w:szCs w:val="26"/>
          <w:u w:val="single"/>
        </w:rPr>
        <w:t xml:space="preserve"> </w:t>
      </w:r>
      <w:r w:rsidR="00615917">
        <w:rPr>
          <w:rFonts w:ascii="Times New Roman" w:hAnsi="Times New Roman" w:cs="Times New Roman"/>
          <w:b/>
          <w:color w:val="0000FF"/>
          <w:sz w:val="26"/>
          <w:szCs w:val="26"/>
          <w:u w:val="single"/>
        </w:rPr>
        <w:t xml:space="preserve">bis </w:t>
      </w:r>
      <w:r>
        <w:rPr>
          <w:rFonts w:ascii="Times New Roman" w:hAnsi="Times New Roman" w:cs="Times New Roman"/>
          <w:b/>
          <w:color w:val="0000FF"/>
          <w:sz w:val="26"/>
          <w:szCs w:val="26"/>
          <w:u w:val="single"/>
        </w:rPr>
        <w:t>– AGGIUNTIVO</w:t>
      </w:r>
    </w:p>
    <w:p w14:paraId="072B5D3C" w14:textId="645C81DD" w:rsidR="00A83260" w:rsidRDefault="00A83260" w:rsidP="00A83260">
      <w:pPr>
        <w:pStyle w:val="Paragrafoelenco"/>
        <w:tabs>
          <w:tab w:val="left" w:pos="0"/>
        </w:tabs>
        <w:spacing w:after="0" w:line="360" w:lineRule="auto"/>
        <w:ind w:left="0"/>
        <w:jc w:val="center"/>
        <w:rPr>
          <w:rFonts w:ascii="Times New Roman" w:hAnsi="Times New Roman" w:cs="Times New Roman"/>
          <w:b/>
          <w:color w:val="0000FF"/>
          <w:sz w:val="26"/>
          <w:szCs w:val="26"/>
          <w:u w:val="single"/>
        </w:rPr>
      </w:pPr>
      <w:r>
        <w:rPr>
          <w:rFonts w:ascii="Times New Roman" w:hAnsi="Times New Roman" w:cs="Times New Roman"/>
          <w:b/>
          <w:color w:val="0000FF"/>
          <w:sz w:val="26"/>
          <w:szCs w:val="26"/>
          <w:u w:val="single"/>
        </w:rPr>
        <w:t>(</w:t>
      </w:r>
      <w:r w:rsidR="00E15B24">
        <w:rPr>
          <w:rFonts w:ascii="Times New Roman" w:hAnsi="Times New Roman" w:cs="Times New Roman"/>
          <w:b/>
          <w:color w:val="0000FF"/>
          <w:sz w:val="26"/>
          <w:szCs w:val="26"/>
          <w:u w:val="single"/>
        </w:rPr>
        <w:t>Cessione di energia prodotta in surplus</w:t>
      </w:r>
      <w:r>
        <w:rPr>
          <w:rFonts w:ascii="Times New Roman" w:hAnsi="Times New Roman" w:cs="Times New Roman"/>
          <w:b/>
          <w:color w:val="0000FF"/>
          <w:sz w:val="26"/>
          <w:szCs w:val="26"/>
          <w:u w:val="single"/>
        </w:rPr>
        <w:t>)</w:t>
      </w:r>
    </w:p>
    <w:p w14:paraId="28A8EDCD" w14:textId="2E063AE1" w:rsidR="00E15B24" w:rsidRPr="00E15B24" w:rsidRDefault="00E15B24" w:rsidP="00E15B24">
      <w:pPr>
        <w:spacing w:after="0" w:line="360" w:lineRule="auto"/>
        <w:jc w:val="both"/>
        <w:rPr>
          <w:rFonts w:ascii="Times New Roman" w:eastAsia="Arial" w:hAnsi="Times New Roman" w:cs="Times New Roman"/>
          <w:bCs/>
          <w:sz w:val="26"/>
          <w:szCs w:val="26"/>
        </w:rPr>
      </w:pPr>
      <w:r>
        <w:rPr>
          <w:rFonts w:ascii="Times New Roman" w:eastAsia="Arial" w:hAnsi="Times New Roman" w:cs="Times New Roman"/>
          <w:bCs/>
          <w:sz w:val="26"/>
          <w:szCs w:val="26"/>
        </w:rPr>
        <w:t>1.</w:t>
      </w:r>
      <w:r>
        <w:rPr>
          <w:rFonts w:ascii="Times New Roman" w:eastAsia="Arial" w:hAnsi="Times New Roman" w:cs="Times New Roman"/>
          <w:bCs/>
          <w:sz w:val="26"/>
          <w:szCs w:val="26"/>
        </w:rPr>
        <w:tab/>
      </w:r>
      <w:r w:rsidRPr="00E15B24">
        <w:rPr>
          <w:rFonts w:ascii="Times New Roman" w:eastAsia="Arial" w:hAnsi="Times New Roman" w:cs="Times New Roman"/>
          <w:bCs/>
          <w:sz w:val="26"/>
          <w:szCs w:val="26"/>
        </w:rPr>
        <w:t xml:space="preserve">All’art. 23 della </w:t>
      </w:r>
      <w:r>
        <w:rPr>
          <w:rFonts w:ascii="Times New Roman" w:eastAsia="Arial" w:hAnsi="Times New Roman" w:cs="Times New Roman"/>
          <w:bCs/>
          <w:sz w:val="26"/>
          <w:szCs w:val="26"/>
        </w:rPr>
        <w:t>Legge n.48/2014</w:t>
      </w:r>
      <w:r w:rsidRPr="00E15B24">
        <w:rPr>
          <w:rFonts w:ascii="Times New Roman" w:eastAsia="Arial" w:hAnsi="Times New Roman" w:cs="Times New Roman"/>
          <w:bCs/>
          <w:sz w:val="26"/>
          <w:szCs w:val="26"/>
        </w:rPr>
        <w:t xml:space="preserve"> è aggiunto il comma 1bis</w:t>
      </w:r>
      <w:r>
        <w:rPr>
          <w:rFonts w:ascii="Times New Roman" w:eastAsia="Arial" w:hAnsi="Times New Roman" w:cs="Times New Roman"/>
          <w:bCs/>
          <w:sz w:val="26"/>
          <w:szCs w:val="26"/>
        </w:rPr>
        <w:t>:</w:t>
      </w:r>
    </w:p>
    <w:p w14:paraId="78AD7D8F" w14:textId="3868F831" w:rsidR="00E15B24" w:rsidRPr="00E15B24" w:rsidRDefault="00E15B24" w:rsidP="00E15B24">
      <w:pPr>
        <w:spacing w:after="0" w:line="360" w:lineRule="auto"/>
        <w:jc w:val="both"/>
        <w:rPr>
          <w:rFonts w:ascii="Times New Roman" w:eastAsia="Arial" w:hAnsi="Times New Roman" w:cs="Times New Roman"/>
          <w:bCs/>
          <w:sz w:val="26"/>
          <w:szCs w:val="26"/>
        </w:rPr>
      </w:pPr>
      <w:r>
        <w:rPr>
          <w:rFonts w:ascii="Times New Roman" w:eastAsia="Arial" w:hAnsi="Times New Roman" w:cs="Times New Roman"/>
          <w:bCs/>
          <w:sz w:val="26"/>
          <w:szCs w:val="26"/>
        </w:rPr>
        <w:t>“</w:t>
      </w:r>
      <w:r w:rsidR="00A83260" w:rsidRPr="009820F3">
        <w:rPr>
          <w:rFonts w:ascii="Times New Roman" w:eastAsia="Arial" w:hAnsi="Times New Roman" w:cs="Times New Roman"/>
          <w:bCs/>
          <w:sz w:val="26"/>
          <w:szCs w:val="26"/>
        </w:rPr>
        <w:t>1</w:t>
      </w:r>
      <w:r>
        <w:rPr>
          <w:rFonts w:ascii="Times New Roman" w:eastAsia="Arial" w:hAnsi="Times New Roman" w:cs="Times New Roman"/>
          <w:bCs/>
          <w:sz w:val="26"/>
          <w:szCs w:val="26"/>
        </w:rPr>
        <w:t>bis</w:t>
      </w:r>
      <w:r w:rsidR="00A83260" w:rsidRPr="009820F3">
        <w:rPr>
          <w:rFonts w:ascii="Times New Roman" w:eastAsia="Arial" w:hAnsi="Times New Roman" w:cs="Times New Roman"/>
          <w:bCs/>
          <w:sz w:val="26"/>
          <w:szCs w:val="26"/>
        </w:rPr>
        <w:t>.</w:t>
      </w:r>
      <w:r>
        <w:rPr>
          <w:rFonts w:ascii="Times New Roman" w:eastAsia="Arial" w:hAnsi="Times New Roman" w:cs="Times New Roman"/>
          <w:bCs/>
          <w:sz w:val="26"/>
          <w:szCs w:val="26"/>
        </w:rPr>
        <w:t xml:space="preserve"> </w:t>
      </w:r>
      <w:r w:rsidRPr="00E15B24">
        <w:rPr>
          <w:rFonts w:ascii="Times New Roman" w:eastAsia="Arial" w:hAnsi="Times New Roman" w:cs="Times New Roman"/>
          <w:bCs/>
          <w:sz w:val="26"/>
          <w:szCs w:val="26"/>
        </w:rPr>
        <w:t>Limitatamente agli impianti di fonti rinnovabili per la produzione di energia installati su beni immobili di proprietà da persona fisica, qualora il credito energetico, di cui al comma 4, art. 9 del D</w:t>
      </w:r>
      <w:r>
        <w:rPr>
          <w:rFonts w:ascii="Times New Roman" w:eastAsia="Arial" w:hAnsi="Times New Roman" w:cs="Times New Roman"/>
          <w:bCs/>
          <w:sz w:val="26"/>
          <w:szCs w:val="26"/>
        </w:rPr>
        <w:t>ecreto Delegato 2</w:t>
      </w:r>
      <w:r w:rsidRPr="00E15B24">
        <w:rPr>
          <w:rFonts w:ascii="Times New Roman" w:eastAsia="Arial" w:hAnsi="Times New Roman" w:cs="Times New Roman"/>
          <w:bCs/>
          <w:sz w:val="26"/>
          <w:szCs w:val="26"/>
        </w:rPr>
        <w:t>4 luglio 2014 n.120, non sia utilizzato entro l’anno solare successivo, per l’eccedenza viene riconosciuto dall’AASS un corrispettivo al kWh stabilito dall'Autorità.</w:t>
      </w:r>
      <w:r>
        <w:rPr>
          <w:rFonts w:ascii="Times New Roman" w:eastAsia="Arial" w:hAnsi="Times New Roman" w:cs="Times New Roman"/>
          <w:bCs/>
          <w:sz w:val="26"/>
          <w:szCs w:val="26"/>
        </w:rPr>
        <w:t>”</w:t>
      </w:r>
    </w:p>
    <w:p w14:paraId="7E4713DB" w14:textId="368C8431" w:rsidR="00E15B24" w:rsidRPr="00E15B24" w:rsidRDefault="00A83260" w:rsidP="00E15B24">
      <w:pPr>
        <w:spacing w:after="0" w:line="360" w:lineRule="auto"/>
        <w:jc w:val="both"/>
        <w:rPr>
          <w:rFonts w:ascii="Times New Roman" w:eastAsia="Arial" w:hAnsi="Times New Roman" w:cs="Times New Roman"/>
          <w:b/>
          <w:bCs/>
          <w:sz w:val="26"/>
          <w:szCs w:val="26"/>
        </w:rPr>
      </w:pPr>
      <w:r w:rsidRPr="009820F3">
        <w:rPr>
          <w:rFonts w:ascii="Times New Roman" w:eastAsia="Arial" w:hAnsi="Times New Roman" w:cs="Times New Roman"/>
          <w:bCs/>
          <w:sz w:val="26"/>
          <w:szCs w:val="26"/>
        </w:rPr>
        <w:t xml:space="preserve">2. </w:t>
      </w:r>
      <w:r w:rsidR="00E15B24">
        <w:rPr>
          <w:rFonts w:ascii="Times New Roman" w:eastAsia="Arial" w:hAnsi="Times New Roman" w:cs="Times New Roman"/>
          <w:bCs/>
          <w:sz w:val="26"/>
          <w:szCs w:val="26"/>
        </w:rPr>
        <w:tab/>
      </w:r>
      <w:bookmarkStart w:id="0" w:name="_GoBack"/>
      <w:bookmarkEnd w:id="0"/>
      <w:r w:rsidR="00E15B24" w:rsidRPr="00E15B24">
        <w:rPr>
          <w:rFonts w:ascii="Times New Roman" w:eastAsia="Arial" w:hAnsi="Times New Roman" w:cs="Times New Roman"/>
          <w:bCs/>
          <w:sz w:val="26"/>
          <w:szCs w:val="26"/>
        </w:rPr>
        <w:t>Il comma 2 dell’art. 9 del D</w:t>
      </w:r>
      <w:r w:rsidR="00E15B24">
        <w:rPr>
          <w:rFonts w:ascii="Times New Roman" w:eastAsia="Arial" w:hAnsi="Times New Roman" w:cs="Times New Roman"/>
          <w:bCs/>
          <w:sz w:val="26"/>
          <w:szCs w:val="26"/>
        </w:rPr>
        <w:t>ecreto Delegato</w:t>
      </w:r>
      <w:r w:rsidR="00E15B24" w:rsidRPr="00E15B24">
        <w:rPr>
          <w:rFonts w:ascii="Times New Roman" w:eastAsia="Arial" w:hAnsi="Times New Roman" w:cs="Times New Roman"/>
          <w:bCs/>
          <w:sz w:val="26"/>
          <w:szCs w:val="26"/>
        </w:rPr>
        <w:t xml:space="preserve"> 24 luglio 2014 n.120 è così modificato</w:t>
      </w:r>
    </w:p>
    <w:p w14:paraId="0EE7A4E8" w14:textId="664EF62D" w:rsidR="00A83260" w:rsidRPr="009820F3" w:rsidRDefault="00A83260" w:rsidP="00A83260">
      <w:pPr>
        <w:spacing w:after="0" w:line="360" w:lineRule="auto"/>
        <w:jc w:val="both"/>
        <w:rPr>
          <w:rFonts w:ascii="Times New Roman" w:eastAsia="Arial" w:hAnsi="Times New Roman" w:cs="Times New Roman"/>
          <w:bCs/>
          <w:sz w:val="26"/>
          <w:szCs w:val="26"/>
        </w:rPr>
      </w:pPr>
      <w:r>
        <w:rPr>
          <w:rFonts w:ascii="Times New Roman" w:eastAsia="Arial" w:hAnsi="Times New Roman" w:cs="Times New Roman"/>
          <w:bCs/>
          <w:sz w:val="26"/>
          <w:szCs w:val="26"/>
        </w:rPr>
        <w:t>a) persona fisica e persona fis</w:t>
      </w:r>
      <w:r w:rsidRPr="009820F3">
        <w:rPr>
          <w:rFonts w:ascii="Times New Roman" w:eastAsia="Arial" w:hAnsi="Times New Roman" w:cs="Times New Roman"/>
          <w:bCs/>
          <w:sz w:val="26"/>
          <w:szCs w:val="26"/>
        </w:rPr>
        <w:t>ica operatore economico, limitatamente all’installazione di impianti</w:t>
      </w:r>
      <w:r>
        <w:rPr>
          <w:rFonts w:ascii="Times New Roman" w:eastAsia="Arial" w:hAnsi="Times New Roman" w:cs="Times New Roman"/>
          <w:bCs/>
          <w:sz w:val="26"/>
          <w:szCs w:val="26"/>
        </w:rPr>
        <w:t xml:space="preserve"> </w:t>
      </w:r>
      <w:r w:rsidRPr="009820F3">
        <w:rPr>
          <w:rFonts w:ascii="Times New Roman" w:eastAsia="Arial" w:hAnsi="Times New Roman" w:cs="Times New Roman"/>
          <w:bCs/>
          <w:sz w:val="26"/>
          <w:szCs w:val="26"/>
        </w:rPr>
        <w:t xml:space="preserve">fotovoltaici di potenza non superiore a </w:t>
      </w:r>
      <w:r w:rsidRPr="00D83B50">
        <w:rPr>
          <w:rFonts w:ascii="Times New Roman" w:eastAsia="Arial" w:hAnsi="Times New Roman" w:cs="Times New Roman"/>
          <w:bCs/>
          <w:strike/>
          <w:sz w:val="26"/>
          <w:szCs w:val="26"/>
        </w:rPr>
        <w:t>6</w:t>
      </w:r>
      <w:r w:rsidRPr="00D83B50">
        <w:rPr>
          <w:rFonts w:ascii="Times New Roman" w:eastAsia="Arial" w:hAnsi="Times New Roman" w:cs="Times New Roman"/>
          <w:b/>
          <w:bCs/>
          <w:sz w:val="26"/>
          <w:szCs w:val="26"/>
        </w:rPr>
        <w:t>12</w:t>
      </w:r>
      <w:r w:rsidRPr="009820F3">
        <w:rPr>
          <w:rFonts w:ascii="Times New Roman" w:eastAsia="Arial" w:hAnsi="Times New Roman" w:cs="Times New Roman"/>
          <w:bCs/>
          <w:sz w:val="26"/>
          <w:szCs w:val="26"/>
        </w:rPr>
        <w:t xml:space="preserve"> kW;</w:t>
      </w:r>
    </w:p>
    <w:p w14:paraId="67AE1426" w14:textId="77777777" w:rsidR="00A83260" w:rsidRPr="009820F3" w:rsidRDefault="00A83260" w:rsidP="00A83260">
      <w:pPr>
        <w:spacing w:after="0" w:line="360" w:lineRule="auto"/>
        <w:jc w:val="both"/>
        <w:rPr>
          <w:rFonts w:ascii="Times New Roman" w:eastAsia="Arial" w:hAnsi="Times New Roman" w:cs="Times New Roman"/>
          <w:bCs/>
          <w:sz w:val="26"/>
          <w:szCs w:val="26"/>
        </w:rPr>
      </w:pPr>
      <w:r w:rsidRPr="009820F3">
        <w:rPr>
          <w:rFonts w:ascii="Times New Roman" w:eastAsia="Arial" w:hAnsi="Times New Roman" w:cs="Times New Roman"/>
          <w:bCs/>
          <w:sz w:val="26"/>
          <w:szCs w:val="26"/>
        </w:rPr>
        <w:t>b) società energetica costituita esclusivamente da persone</w:t>
      </w:r>
      <w:r>
        <w:rPr>
          <w:rFonts w:ascii="Times New Roman" w:eastAsia="Arial" w:hAnsi="Times New Roman" w:cs="Times New Roman"/>
          <w:bCs/>
          <w:sz w:val="26"/>
          <w:szCs w:val="26"/>
        </w:rPr>
        <w:t xml:space="preserve"> fi</w:t>
      </w:r>
      <w:r w:rsidRPr="009820F3">
        <w:rPr>
          <w:rFonts w:ascii="Times New Roman" w:eastAsia="Arial" w:hAnsi="Times New Roman" w:cs="Times New Roman"/>
          <w:bCs/>
          <w:sz w:val="26"/>
          <w:szCs w:val="26"/>
        </w:rPr>
        <w:t>siche non operatori economici;</w:t>
      </w:r>
    </w:p>
    <w:p w14:paraId="1C47D4AB" w14:textId="5829DEFF" w:rsidR="00A83260" w:rsidRPr="009820F3" w:rsidRDefault="00A83260" w:rsidP="00A83260">
      <w:pPr>
        <w:spacing w:after="0" w:line="360" w:lineRule="auto"/>
        <w:jc w:val="both"/>
        <w:rPr>
          <w:rFonts w:ascii="Times New Roman" w:eastAsia="Arial" w:hAnsi="Times New Roman" w:cs="Times New Roman"/>
          <w:bCs/>
          <w:sz w:val="26"/>
          <w:szCs w:val="26"/>
        </w:rPr>
      </w:pPr>
      <w:r>
        <w:rPr>
          <w:rFonts w:ascii="Times New Roman" w:eastAsia="Arial" w:hAnsi="Times New Roman" w:cs="Times New Roman"/>
          <w:bCs/>
          <w:sz w:val="26"/>
          <w:szCs w:val="26"/>
        </w:rPr>
        <w:t xml:space="preserve">c) </w:t>
      </w:r>
      <w:r w:rsidRPr="009820F3">
        <w:rPr>
          <w:rFonts w:ascii="Times New Roman" w:eastAsia="Arial" w:hAnsi="Times New Roman" w:cs="Times New Roman"/>
          <w:bCs/>
          <w:sz w:val="26"/>
          <w:szCs w:val="26"/>
        </w:rPr>
        <w:t>persona giuridica</w:t>
      </w:r>
      <w:r w:rsidR="005214BF">
        <w:rPr>
          <w:rFonts w:ascii="Times New Roman" w:eastAsia="Arial" w:hAnsi="Times New Roman" w:cs="Times New Roman"/>
          <w:bCs/>
          <w:sz w:val="26"/>
          <w:szCs w:val="26"/>
        </w:rPr>
        <w:t>.</w:t>
      </w:r>
    </w:p>
    <w:p w14:paraId="34C2F70D" w14:textId="77777777" w:rsidR="00E15B24" w:rsidRDefault="00E15B24" w:rsidP="00A83260">
      <w:pPr>
        <w:pStyle w:val="Paragrafoelenco"/>
        <w:tabs>
          <w:tab w:val="left" w:pos="0"/>
        </w:tabs>
        <w:spacing w:after="0" w:line="360" w:lineRule="auto"/>
        <w:ind w:left="0"/>
        <w:jc w:val="center"/>
        <w:rPr>
          <w:rFonts w:ascii="Times New Roman" w:hAnsi="Times New Roman" w:cs="Times New Roman"/>
          <w:b/>
          <w:color w:val="0000FF"/>
          <w:sz w:val="26"/>
          <w:szCs w:val="26"/>
          <w:u w:val="single"/>
        </w:rPr>
      </w:pPr>
    </w:p>
    <w:p w14:paraId="5A01CD74" w14:textId="1AC085C0" w:rsidR="00A83260" w:rsidRDefault="00A83260" w:rsidP="00A83260">
      <w:pPr>
        <w:pStyle w:val="Paragrafoelenco"/>
        <w:tabs>
          <w:tab w:val="left" w:pos="0"/>
        </w:tabs>
        <w:spacing w:after="0" w:line="360" w:lineRule="auto"/>
        <w:ind w:left="0"/>
        <w:jc w:val="center"/>
        <w:rPr>
          <w:rFonts w:ascii="Times New Roman" w:hAnsi="Times New Roman" w:cs="Times New Roman"/>
          <w:b/>
          <w:color w:val="0000FF"/>
          <w:sz w:val="26"/>
          <w:szCs w:val="26"/>
          <w:u w:val="single"/>
        </w:rPr>
      </w:pPr>
      <w:r>
        <w:rPr>
          <w:rFonts w:ascii="Times New Roman" w:hAnsi="Times New Roman" w:cs="Times New Roman"/>
          <w:b/>
          <w:color w:val="0000FF"/>
          <w:sz w:val="26"/>
          <w:szCs w:val="26"/>
          <w:u w:val="single"/>
        </w:rPr>
        <w:t xml:space="preserve">Articolo </w:t>
      </w:r>
      <w:r w:rsidR="00615917">
        <w:rPr>
          <w:rFonts w:ascii="Times New Roman" w:hAnsi="Times New Roman" w:cs="Times New Roman"/>
          <w:b/>
          <w:color w:val="0000FF"/>
          <w:sz w:val="26"/>
          <w:szCs w:val="26"/>
          <w:u w:val="single"/>
        </w:rPr>
        <w:t>1</w:t>
      </w:r>
      <w:r w:rsidR="0010766E">
        <w:rPr>
          <w:rFonts w:ascii="Times New Roman" w:hAnsi="Times New Roman" w:cs="Times New Roman"/>
          <w:b/>
          <w:color w:val="0000FF"/>
          <w:sz w:val="26"/>
          <w:szCs w:val="26"/>
          <w:u w:val="single"/>
        </w:rPr>
        <w:t xml:space="preserve"> </w:t>
      </w:r>
      <w:r w:rsidR="00615917">
        <w:rPr>
          <w:rFonts w:ascii="Times New Roman" w:hAnsi="Times New Roman" w:cs="Times New Roman"/>
          <w:b/>
          <w:color w:val="0000FF"/>
          <w:sz w:val="26"/>
          <w:szCs w:val="26"/>
          <w:u w:val="single"/>
        </w:rPr>
        <w:t>ter</w:t>
      </w:r>
      <w:r>
        <w:rPr>
          <w:rFonts w:ascii="Times New Roman" w:hAnsi="Times New Roman" w:cs="Times New Roman"/>
          <w:b/>
          <w:color w:val="0000FF"/>
          <w:sz w:val="26"/>
          <w:szCs w:val="26"/>
          <w:u w:val="single"/>
        </w:rPr>
        <w:t xml:space="preserve"> – AGGIUNTIVO</w:t>
      </w:r>
    </w:p>
    <w:p w14:paraId="1233CA7D" w14:textId="77777777" w:rsidR="00A83260" w:rsidRDefault="00A83260" w:rsidP="00A83260">
      <w:pPr>
        <w:pStyle w:val="Paragrafoelenco"/>
        <w:tabs>
          <w:tab w:val="left" w:pos="0"/>
        </w:tabs>
        <w:spacing w:after="0" w:line="360" w:lineRule="auto"/>
        <w:ind w:left="0"/>
        <w:jc w:val="center"/>
        <w:rPr>
          <w:rFonts w:ascii="Times New Roman" w:hAnsi="Times New Roman" w:cs="Times New Roman"/>
          <w:b/>
          <w:color w:val="0000FF"/>
          <w:sz w:val="26"/>
          <w:szCs w:val="26"/>
          <w:u w:val="single"/>
        </w:rPr>
      </w:pPr>
      <w:r>
        <w:rPr>
          <w:rFonts w:ascii="Times New Roman" w:hAnsi="Times New Roman" w:cs="Times New Roman"/>
          <w:b/>
          <w:color w:val="0000FF"/>
          <w:sz w:val="26"/>
          <w:szCs w:val="26"/>
          <w:u w:val="single"/>
        </w:rPr>
        <w:t>(Bonus risparmio energia)</w:t>
      </w:r>
    </w:p>
    <w:p w14:paraId="67EBCDBD" w14:textId="77777777" w:rsidR="00A83260" w:rsidRPr="00E04620" w:rsidRDefault="00A83260" w:rsidP="00A83260">
      <w:pPr>
        <w:pStyle w:val="Paragrafoelenco"/>
        <w:numPr>
          <w:ilvl w:val="0"/>
          <w:numId w:val="29"/>
        </w:numPr>
        <w:spacing w:after="0" w:line="360" w:lineRule="auto"/>
        <w:ind w:left="0" w:firstLine="0"/>
        <w:jc w:val="both"/>
        <w:rPr>
          <w:rFonts w:ascii="Times New Roman" w:eastAsia="Arial" w:hAnsi="Times New Roman" w:cs="Times New Roman"/>
          <w:bCs/>
          <w:sz w:val="26"/>
          <w:szCs w:val="26"/>
        </w:rPr>
      </w:pPr>
      <w:r w:rsidRPr="00E04620">
        <w:rPr>
          <w:rFonts w:ascii="Times New Roman" w:eastAsia="Arial" w:hAnsi="Times New Roman" w:cs="Times New Roman"/>
          <w:bCs/>
          <w:sz w:val="26"/>
          <w:szCs w:val="26"/>
        </w:rPr>
        <w:t>Allo scopo di favorire e incentivare il risparmio di energia, anche attraverso forme premiali per coloro che riescono a consumare meno nel corso degli anni, con Decreto Delegato sono regolamentate le modalità di erogazione di un bonus fiscale per coloro che riducono i propri consumi di gas e/o energia elettrica rispetto all’anno precedente e/o che abbiano livelli di consumo ridotti rispetto alla media dei consumi delle abitazioni di grandezza equiparabile.</w:t>
      </w:r>
    </w:p>
    <w:p w14:paraId="5C40AB91" w14:textId="1BA7D6F2" w:rsidR="00A83260" w:rsidRDefault="00A83260" w:rsidP="00A83260">
      <w:pPr>
        <w:pStyle w:val="Paragrafoelenco"/>
        <w:numPr>
          <w:ilvl w:val="0"/>
          <w:numId w:val="29"/>
        </w:numPr>
        <w:spacing w:after="0" w:line="360" w:lineRule="auto"/>
        <w:ind w:left="0" w:firstLine="0"/>
        <w:jc w:val="both"/>
        <w:rPr>
          <w:rFonts w:ascii="Times New Roman" w:eastAsia="Arial" w:hAnsi="Times New Roman" w:cs="Times New Roman"/>
          <w:bCs/>
          <w:sz w:val="26"/>
          <w:szCs w:val="26"/>
        </w:rPr>
      </w:pPr>
      <w:r w:rsidRPr="00E04620">
        <w:rPr>
          <w:rFonts w:ascii="Times New Roman" w:eastAsia="Arial" w:hAnsi="Times New Roman" w:cs="Times New Roman"/>
          <w:bCs/>
          <w:sz w:val="26"/>
          <w:szCs w:val="26"/>
        </w:rPr>
        <w:t>Il bonus deve essere pari ad una quota, pari al 30%, dei risparmi che tali comportamenti virtuosi generano per l’Azienda dei Servizi, in termini di minori costi di approv</w:t>
      </w:r>
      <w:r w:rsidR="005214BF">
        <w:rPr>
          <w:rFonts w:ascii="Times New Roman" w:eastAsia="Arial" w:hAnsi="Times New Roman" w:cs="Times New Roman"/>
          <w:bCs/>
          <w:sz w:val="26"/>
          <w:szCs w:val="26"/>
        </w:rPr>
        <w:t>v</w:t>
      </w:r>
      <w:r w:rsidRPr="00E04620">
        <w:rPr>
          <w:rFonts w:ascii="Times New Roman" w:eastAsia="Arial" w:hAnsi="Times New Roman" w:cs="Times New Roman"/>
          <w:bCs/>
          <w:sz w:val="26"/>
          <w:szCs w:val="26"/>
        </w:rPr>
        <w:t>igionamento.</w:t>
      </w:r>
    </w:p>
    <w:p w14:paraId="3802C6B2" w14:textId="77777777" w:rsidR="00A83260" w:rsidRDefault="00A83260" w:rsidP="00A83260">
      <w:pPr>
        <w:spacing w:after="0" w:line="360" w:lineRule="auto"/>
        <w:jc w:val="both"/>
        <w:rPr>
          <w:rFonts w:ascii="Times New Roman" w:eastAsia="Arial" w:hAnsi="Times New Roman" w:cs="Times New Roman"/>
          <w:bCs/>
          <w:sz w:val="26"/>
          <w:szCs w:val="26"/>
        </w:rPr>
      </w:pPr>
    </w:p>
    <w:p w14:paraId="5D8D7F84" w14:textId="429CF71A" w:rsidR="00A83260" w:rsidRDefault="00A83260" w:rsidP="00A83260">
      <w:pPr>
        <w:pStyle w:val="Paragrafoelenco"/>
        <w:tabs>
          <w:tab w:val="left" w:pos="0"/>
        </w:tabs>
        <w:spacing w:after="0" w:line="360" w:lineRule="auto"/>
        <w:ind w:left="0"/>
        <w:jc w:val="center"/>
        <w:rPr>
          <w:rFonts w:ascii="Times New Roman" w:hAnsi="Times New Roman" w:cs="Times New Roman"/>
          <w:b/>
          <w:color w:val="0000FF"/>
          <w:sz w:val="26"/>
          <w:szCs w:val="26"/>
          <w:u w:val="single"/>
        </w:rPr>
      </w:pPr>
      <w:r>
        <w:rPr>
          <w:rFonts w:ascii="Times New Roman" w:hAnsi="Times New Roman" w:cs="Times New Roman"/>
          <w:b/>
          <w:color w:val="0000FF"/>
          <w:sz w:val="26"/>
          <w:szCs w:val="26"/>
          <w:u w:val="single"/>
        </w:rPr>
        <w:lastRenderedPageBreak/>
        <w:t xml:space="preserve">Articolo </w:t>
      </w:r>
      <w:r w:rsidR="00615917">
        <w:rPr>
          <w:rFonts w:ascii="Times New Roman" w:hAnsi="Times New Roman" w:cs="Times New Roman"/>
          <w:b/>
          <w:color w:val="0000FF"/>
          <w:sz w:val="26"/>
          <w:szCs w:val="26"/>
          <w:u w:val="single"/>
        </w:rPr>
        <w:t>1</w:t>
      </w:r>
      <w:r w:rsidR="0010766E">
        <w:rPr>
          <w:rFonts w:ascii="Times New Roman" w:hAnsi="Times New Roman" w:cs="Times New Roman"/>
          <w:b/>
          <w:color w:val="0000FF"/>
          <w:sz w:val="26"/>
          <w:szCs w:val="26"/>
          <w:u w:val="single"/>
        </w:rPr>
        <w:t xml:space="preserve"> </w:t>
      </w:r>
      <w:r w:rsidR="00615917">
        <w:rPr>
          <w:rFonts w:ascii="Times New Roman" w:hAnsi="Times New Roman" w:cs="Times New Roman"/>
          <w:b/>
          <w:color w:val="0000FF"/>
          <w:sz w:val="26"/>
          <w:szCs w:val="26"/>
          <w:u w:val="single"/>
        </w:rPr>
        <w:t>quater</w:t>
      </w:r>
      <w:r>
        <w:rPr>
          <w:rFonts w:ascii="Times New Roman" w:hAnsi="Times New Roman" w:cs="Times New Roman"/>
          <w:b/>
          <w:color w:val="0000FF"/>
          <w:sz w:val="26"/>
          <w:szCs w:val="26"/>
          <w:u w:val="single"/>
        </w:rPr>
        <w:t xml:space="preserve"> – AGGIUNTIVO</w:t>
      </w:r>
    </w:p>
    <w:p w14:paraId="1861D787" w14:textId="77777777" w:rsidR="00A83260" w:rsidRDefault="00A83260" w:rsidP="00A83260">
      <w:pPr>
        <w:pStyle w:val="Paragrafoelenco"/>
        <w:tabs>
          <w:tab w:val="left" w:pos="0"/>
        </w:tabs>
        <w:spacing w:after="0" w:line="360" w:lineRule="auto"/>
        <w:ind w:left="0"/>
        <w:jc w:val="center"/>
        <w:rPr>
          <w:rFonts w:ascii="Times New Roman" w:hAnsi="Times New Roman" w:cs="Times New Roman"/>
          <w:b/>
          <w:color w:val="0000FF"/>
          <w:sz w:val="26"/>
          <w:szCs w:val="26"/>
          <w:u w:val="single"/>
        </w:rPr>
      </w:pPr>
      <w:r>
        <w:rPr>
          <w:rFonts w:ascii="Times New Roman" w:hAnsi="Times New Roman" w:cs="Times New Roman"/>
          <w:b/>
          <w:color w:val="0000FF"/>
          <w:sz w:val="26"/>
          <w:szCs w:val="26"/>
          <w:u w:val="single"/>
        </w:rPr>
        <w:t>(Detassazione degli utili reinvestiti per efficientamento energetico)</w:t>
      </w:r>
    </w:p>
    <w:p w14:paraId="7C961115" w14:textId="77777777" w:rsidR="00A83260" w:rsidRPr="00C33F16" w:rsidRDefault="00A83260" w:rsidP="00A83260">
      <w:pPr>
        <w:pStyle w:val="Paragrafoelenco"/>
        <w:numPr>
          <w:ilvl w:val="0"/>
          <w:numId w:val="30"/>
        </w:numPr>
        <w:spacing w:after="0" w:line="360" w:lineRule="auto"/>
        <w:ind w:left="0" w:firstLine="0"/>
        <w:jc w:val="both"/>
        <w:rPr>
          <w:rFonts w:ascii="Times New Roman" w:eastAsia="Arial" w:hAnsi="Times New Roman" w:cs="Times New Roman"/>
          <w:bCs/>
          <w:sz w:val="26"/>
          <w:szCs w:val="26"/>
        </w:rPr>
      </w:pPr>
      <w:r w:rsidRPr="00C33F16">
        <w:rPr>
          <w:rFonts w:ascii="Times New Roman" w:eastAsia="Arial" w:hAnsi="Times New Roman" w:cs="Times New Roman"/>
          <w:bCs/>
          <w:sz w:val="26"/>
          <w:szCs w:val="26"/>
        </w:rPr>
        <w:t>All’articolo 62, comma 1, della Legge n.166/2013 e successive modifiche è aggiunta la seguente lettera c-bis):</w:t>
      </w:r>
    </w:p>
    <w:p w14:paraId="241A57EE" w14:textId="0CBBB354" w:rsidR="00A83260" w:rsidRDefault="00A83260" w:rsidP="00A83260">
      <w:pPr>
        <w:spacing w:after="0" w:line="360" w:lineRule="auto"/>
        <w:jc w:val="both"/>
        <w:rPr>
          <w:rFonts w:ascii="Times New Roman" w:eastAsia="Arial" w:hAnsi="Times New Roman" w:cs="Times New Roman"/>
          <w:bCs/>
          <w:sz w:val="26"/>
          <w:szCs w:val="26"/>
        </w:rPr>
      </w:pPr>
      <w:r>
        <w:rPr>
          <w:rFonts w:ascii="Times New Roman" w:eastAsia="Arial" w:hAnsi="Times New Roman" w:cs="Times New Roman"/>
          <w:bCs/>
          <w:sz w:val="26"/>
          <w:szCs w:val="26"/>
        </w:rPr>
        <w:t>“</w:t>
      </w:r>
      <w:r w:rsidRPr="00713D24">
        <w:rPr>
          <w:rFonts w:ascii="Times New Roman" w:eastAsia="Arial" w:hAnsi="Times New Roman" w:cs="Times New Roman"/>
          <w:b/>
          <w:bCs/>
          <w:sz w:val="26"/>
          <w:szCs w:val="26"/>
        </w:rPr>
        <w:t xml:space="preserve">c-bis. </w:t>
      </w:r>
      <w:r w:rsidR="005214BF">
        <w:rPr>
          <w:rFonts w:ascii="Times New Roman" w:eastAsia="Arial" w:hAnsi="Times New Roman" w:cs="Times New Roman"/>
          <w:b/>
          <w:bCs/>
          <w:sz w:val="26"/>
          <w:szCs w:val="26"/>
        </w:rPr>
        <w:t>L</w:t>
      </w:r>
      <w:r w:rsidRPr="00713D24">
        <w:rPr>
          <w:rFonts w:ascii="Times New Roman" w:eastAsia="Arial" w:hAnsi="Times New Roman" w:cs="Times New Roman"/>
          <w:b/>
          <w:bCs/>
          <w:sz w:val="26"/>
          <w:szCs w:val="26"/>
        </w:rPr>
        <w:t>’installazione di impianti per la produzione di energia da fonti rinnovabili e per la sostituzione di impianti che utilizzino gas con impianti che utilizzino energia elettrica, nei limiti massimi di potenza che sono definite con Decreto Delegato, anche in relazione alla dimensione dell’impresa</w:t>
      </w:r>
      <w:r>
        <w:rPr>
          <w:rFonts w:ascii="Times New Roman" w:eastAsia="Arial" w:hAnsi="Times New Roman" w:cs="Times New Roman"/>
          <w:bCs/>
          <w:sz w:val="26"/>
          <w:szCs w:val="26"/>
        </w:rPr>
        <w:t>”.</w:t>
      </w:r>
    </w:p>
    <w:p w14:paraId="21ABFE55" w14:textId="77777777" w:rsidR="00A83260" w:rsidRDefault="00A83260" w:rsidP="00A83260">
      <w:pPr>
        <w:pStyle w:val="Paragrafoelenco"/>
        <w:numPr>
          <w:ilvl w:val="0"/>
          <w:numId w:val="30"/>
        </w:numPr>
        <w:spacing w:after="0" w:line="360" w:lineRule="auto"/>
        <w:ind w:left="0" w:firstLine="0"/>
        <w:jc w:val="both"/>
        <w:rPr>
          <w:rFonts w:ascii="Times New Roman" w:eastAsia="Arial" w:hAnsi="Times New Roman" w:cs="Times New Roman"/>
          <w:bCs/>
          <w:sz w:val="26"/>
          <w:szCs w:val="26"/>
        </w:rPr>
      </w:pPr>
      <w:r>
        <w:rPr>
          <w:rFonts w:ascii="Times New Roman" w:eastAsia="Arial" w:hAnsi="Times New Roman" w:cs="Times New Roman"/>
          <w:bCs/>
          <w:sz w:val="26"/>
          <w:szCs w:val="26"/>
        </w:rPr>
        <w:t>L</w:t>
      </w:r>
      <w:r w:rsidRPr="00C33F16">
        <w:rPr>
          <w:rFonts w:ascii="Times New Roman" w:eastAsia="Arial" w:hAnsi="Times New Roman" w:cs="Times New Roman"/>
          <w:bCs/>
          <w:sz w:val="26"/>
          <w:szCs w:val="26"/>
        </w:rPr>
        <w:t xml:space="preserve">’articolo 62, comma </w:t>
      </w:r>
      <w:r>
        <w:rPr>
          <w:rFonts w:ascii="Times New Roman" w:eastAsia="Arial" w:hAnsi="Times New Roman" w:cs="Times New Roman"/>
          <w:bCs/>
          <w:sz w:val="26"/>
          <w:szCs w:val="26"/>
        </w:rPr>
        <w:t>3</w:t>
      </w:r>
      <w:r w:rsidRPr="00C33F16">
        <w:rPr>
          <w:rFonts w:ascii="Times New Roman" w:eastAsia="Arial" w:hAnsi="Times New Roman" w:cs="Times New Roman"/>
          <w:bCs/>
          <w:sz w:val="26"/>
          <w:szCs w:val="26"/>
        </w:rPr>
        <w:t xml:space="preserve">, </w:t>
      </w:r>
      <w:r>
        <w:rPr>
          <w:rFonts w:ascii="Times New Roman" w:eastAsia="Arial" w:hAnsi="Times New Roman" w:cs="Times New Roman"/>
          <w:bCs/>
          <w:sz w:val="26"/>
          <w:szCs w:val="26"/>
        </w:rPr>
        <w:t xml:space="preserve">lettera c), </w:t>
      </w:r>
      <w:r w:rsidRPr="00C33F16">
        <w:rPr>
          <w:rFonts w:ascii="Times New Roman" w:eastAsia="Arial" w:hAnsi="Times New Roman" w:cs="Times New Roman"/>
          <w:bCs/>
          <w:sz w:val="26"/>
          <w:szCs w:val="26"/>
        </w:rPr>
        <w:t xml:space="preserve">della Legge n.166/2013 e successive modifiche è </w:t>
      </w:r>
      <w:r>
        <w:rPr>
          <w:rFonts w:ascii="Times New Roman" w:eastAsia="Arial" w:hAnsi="Times New Roman" w:cs="Times New Roman"/>
          <w:bCs/>
          <w:sz w:val="26"/>
          <w:szCs w:val="26"/>
        </w:rPr>
        <w:t>così modificato:</w:t>
      </w:r>
    </w:p>
    <w:p w14:paraId="5E48D78C" w14:textId="77777777" w:rsidR="00A83260" w:rsidRDefault="00A83260" w:rsidP="00A83260">
      <w:pPr>
        <w:pStyle w:val="Paragrafoelenco"/>
        <w:spacing w:after="0" w:line="360" w:lineRule="auto"/>
        <w:ind w:left="0"/>
        <w:jc w:val="both"/>
        <w:rPr>
          <w:rFonts w:ascii="Times New Roman" w:eastAsia="Arial" w:hAnsi="Times New Roman" w:cs="Times New Roman"/>
          <w:bCs/>
          <w:sz w:val="26"/>
          <w:szCs w:val="26"/>
        </w:rPr>
      </w:pPr>
      <w:r>
        <w:rPr>
          <w:rFonts w:ascii="Times New Roman" w:eastAsia="Arial" w:hAnsi="Times New Roman" w:cs="Times New Roman"/>
          <w:bCs/>
          <w:sz w:val="26"/>
          <w:szCs w:val="26"/>
        </w:rPr>
        <w:t>“</w:t>
      </w:r>
      <w:r w:rsidRPr="00C33F16">
        <w:rPr>
          <w:rFonts w:ascii="Times New Roman" w:eastAsia="Arial" w:hAnsi="Times New Roman" w:cs="Times New Roman"/>
          <w:bCs/>
          <w:sz w:val="26"/>
          <w:szCs w:val="26"/>
        </w:rPr>
        <w:t>€20.000,00= per gli investimenti di cui al comma 1, lettera c)</w:t>
      </w:r>
      <w:r>
        <w:rPr>
          <w:rFonts w:ascii="Times New Roman" w:eastAsia="Arial" w:hAnsi="Times New Roman" w:cs="Times New Roman"/>
          <w:bCs/>
          <w:sz w:val="26"/>
          <w:szCs w:val="26"/>
        </w:rPr>
        <w:t xml:space="preserve"> </w:t>
      </w:r>
      <w:r w:rsidRPr="00C33F16">
        <w:rPr>
          <w:rFonts w:ascii="Times New Roman" w:eastAsia="Arial" w:hAnsi="Times New Roman" w:cs="Times New Roman"/>
          <w:b/>
          <w:bCs/>
          <w:sz w:val="26"/>
          <w:szCs w:val="26"/>
        </w:rPr>
        <w:t>e c-bis</w:t>
      </w:r>
      <w:r w:rsidRPr="00C33F16">
        <w:rPr>
          <w:rFonts w:ascii="Times New Roman" w:eastAsia="Arial" w:hAnsi="Times New Roman" w:cs="Times New Roman"/>
          <w:bCs/>
          <w:sz w:val="26"/>
          <w:szCs w:val="26"/>
        </w:rPr>
        <w:t>.</w:t>
      </w:r>
      <w:r>
        <w:rPr>
          <w:rFonts w:ascii="Times New Roman" w:eastAsia="Arial" w:hAnsi="Times New Roman" w:cs="Times New Roman"/>
          <w:bCs/>
          <w:sz w:val="26"/>
          <w:szCs w:val="26"/>
        </w:rPr>
        <w:t>”.</w:t>
      </w:r>
    </w:p>
    <w:p w14:paraId="2B81F971" w14:textId="77777777" w:rsidR="00A83260" w:rsidRDefault="00A83260" w:rsidP="00A83260">
      <w:pPr>
        <w:pStyle w:val="Paragrafoelenco"/>
        <w:numPr>
          <w:ilvl w:val="0"/>
          <w:numId w:val="30"/>
        </w:numPr>
        <w:spacing w:after="0" w:line="360" w:lineRule="auto"/>
        <w:ind w:left="0" w:firstLine="0"/>
        <w:jc w:val="both"/>
        <w:rPr>
          <w:rFonts w:ascii="Times New Roman" w:eastAsia="Arial" w:hAnsi="Times New Roman" w:cs="Times New Roman"/>
          <w:bCs/>
          <w:sz w:val="26"/>
          <w:szCs w:val="26"/>
        </w:rPr>
      </w:pPr>
      <w:r>
        <w:rPr>
          <w:rFonts w:ascii="Times New Roman" w:eastAsia="Arial" w:hAnsi="Times New Roman" w:cs="Times New Roman"/>
          <w:bCs/>
          <w:sz w:val="26"/>
          <w:szCs w:val="26"/>
        </w:rPr>
        <w:t>L’articolo 63, comma 1, lettera c), della Legge n.166/2013 e successive modifiche è così modificato:</w:t>
      </w:r>
    </w:p>
    <w:p w14:paraId="344B26E3" w14:textId="77777777" w:rsidR="00A83260" w:rsidRPr="00C33F16" w:rsidRDefault="00A83260" w:rsidP="00A83260">
      <w:pPr>
        <w:pStyle w:val="Paragrafoelenco"/>
        <w:spacing w:after="0" w:line="360" w:lineRule="auto"/>
        <w:ind w:left="0"/>
        <w:jc w:val="both"/>
        <w:rPr>
          <w:rFonts w:ascii="Times New Roman" w:eastAsia="Arial" w:hAnsi="Times New Roman" w:cs="Times New Roman"/>
          <w:bCs/>
          <w:sz w:val="26"/>
          <w:szCs w:val="26"/>
        </w:rPr>
      </w:pPr>
      <w:r>
        <w:rPr>
          <w:rFonts w:ascii="Times New Roman" w:eastAsia="Arial" w:hAnsi="Times New Roman" w:cs="Times New Roman"/>
          <w:bCs/>
          <w:sz w:val="26"/>
          <w:szCs w:val="26"/>
        </w:rPr>
        <w:t>“</w:t>
      </w:r>
      <w:r w:rsidRPr="00C33F16">
        <w:rPr>
          <w:rFonts w:ascii="Times New Roman" w:eastAsia="Arial" w:hAnsi="Times New Roman" w:cs="Times New Roman"/>
          <w:bCs/>
          <w:sz w:val="26"/>
          <w:szCs w:val="26"/>
        </w:rPr>
        <w:t xml:space="preserve">c) il 90% degli utili annuali di esercizio per interventi di cui alla lettera c) </w:t>
      </w:r>
      <w:r w:rsidRPr="00C33F16">
        <w:rPr>
          <w:rFonts w:ascii="Times New Roman" w:eastAsia="Arial" w:hAnsi="Times New Roman" w:cs="Times New Roman"/>
          <w:b/>
          <w:bCs/>
          <w:sz w:val="26"/>
          <w:szCs w:val="26"/>
        </w:rPr>
        <w:t xml:space="preserve">e c-bis) </w:t>
      </w:r>
      <w:r w:rsidRPr="00C33F16">
        <w:rPr>
          <w:rFonts w:ascii="Times New Roman" w:eastAsia="Arial" w:hAnsi="Times New Roman" w:cs="Times New Roman"/>
          <w:bCs/>
          <w:sz w:val="26"/>
          <w:szCs w:val="26"/>
        </w:rPr>
        <w:t>dell’articolo</w:t>
      </w:r>
      <w:r>
        <w:rPr>
          <w:rFonts w:ascii="Times New Roman" w:eastAsia="Arial" w:hAnsi="Times New Roman" w:cs="Times New Roman"/>
          <w:bCs/>
          <w:sz w:val="26"/>
          <w:szCs w:val="26"/>
        </w:rPr>
        <w:t xml:space="preserve"> </w:t>
      </w:r>
      <w:r w:rsidRPr="00C33F16">
        <w:rPr>
          <w:rFonts w:ascii="Times New Roman" w:eastAsia="Arial" w:hAnsi="Times New Roman" w:cs="Times New Roman"/>
          <w:bCs/>
          <w:sz w:val="26"/>
          <w:szCs w:val="26"/>
        </w:rPr>
        <w:t>62, comma 1.</w:t>
      </w:r>
      <w:r>
        <w:rPr>
          <w:rFonts w:ascii="Times New Roman" w:eastAsia="Arial" w:hAnsi="Times New Roman" w:cs="Times New Roman"/>
          <w:bCs/>
          <w:sz w:val="26"/>
          <w:szCs w:val="26"/>
        </w:rPr>
        <w:t>”</w:t>
      </w:r>
    </w:p>
    <w:p w14:paraId="421FAD34" w14:textId="77777777" w:rsidR="00A83260" w:rsidRDefault="00A83260" w:rsidP="00A83260">
      <w:pPr>
        <w:spacing w:after="0" w:line="360" w:lineRule="auto"/>
        <w:jc w:val="both"/>
        <w:rPr>
          <w:rFonts w:ascii="Times New Roman" w:eastAsia="Arial" w:hAnsi="Times New Roman" w:cs="Times New Roman"/>
          <w:bCs/>
          <w:sz w:val="26"/>
          <w:szCs w:val="26"/>
        </w:rPr>
      </w:pPr>
    </w:p>
    <w:p w14:paraId="54447C74" w14:textId="33FE6CB4" w:rsidR="00A83260" w:rsidRDefault="00A83260" w:rsidP="00A83260">
      <w:pPr>
        <w:pStyle w:val="Paragrafoelenco"/>
        <w:tabs>
          <w:tab w:val="left" w:pos="0"/>
        </w:tabs>
        <w:spacing w:after="0" w:line="360" w:lineRule="auto"/>
        <w:ind w:left="0"/>
        <w:jc w:val="center"/>
        <w:rPr>
          <w:rFonts w:ascii="Times New Roman" w:hAnsi="Times New Roman" w:cs="Times New Roman"/>
          <w:b/>
          <w:color w:val="0000FF"/>
          <w:sz w:val="26"/>
          <w:szCs w:val="26"/>
          <w:u w:val="single"/>
        </w:rPr>
      </w:pPr>
      <w:r>
        <w:rPr>
          <w:rFonts w:ascii="Times New Roman" w:hAnsi="Times New Roman" w:cs="Times New Roman"/>
          <w:b/>
          <w:color w:val="0000FF"/>
          <w:sz w:val="26"/>
          <w:szCs w:val="26"/>
          <w:u w:val="single"/>
        </w:rPr>
        <w:t xml:space="preserve">Articolo </w:t>
      </w:r>
      <w:r w:rsidR="00615917">
        <w:rPr>
          <w:rFonts w:ascii="Times New Roman" w:hAnsi="Times New Roman" w:cs="Times New Roman"/>
          <w:b/>
          <w:color w:val="0000FF"/>
          <w:sz w:val="26"/>
          <w:szCs w:val="26"/>
          <w:u w:val="single"/>
        </w:rPr>
        <w:t>1</w:t>
      </w:r>
      <w:r w:rsidR="0010766E">
        <w:rPr>
          <w:rFonts w:ascii="Times New Roman" w:hAnsi="Times New Roman" w:cs="Times New Roman"/>
          <w:b/>
          <w:color w:val="0000FF"/>
          <w:sz w:val="26"/>
          <w:szCs w:val="26"/>
          <w:u w:val="single"/>
        </w:rPr>
        <w:t xml:space="preserve"> </w:t>
      </w:r>
      <w:proofErr w:type="spellStart"/>
      <w:r w:rsidR="00615917">
        <w:rPr>
          <w:rFonts w:ascii="Times New Roman" w:hAnsi="Times New Roman" w:cs="Times New Roman"/>
          <w:b/>
          <w:color w:val="0000FF"/>
          <w:sz w:val="26"/>
          <w:szCs w:val="26"/>
          <w:u w:val="single"/>
        </w:rPr>
        <w:t>quinquies</w:t>
      </w:r>
      <w:proofErr w:type="spellEnd"/>
      <w:r>
        <w:rPr>
          <w:rFonts w:ascii="Times New Roman" w:hAnsi="Times New Roman" w:cs="Times New Roman"/>
          <w:b/>
          <w:color w:val="0000FF"/>
          <w:sz w:val="26"/>
          <w:szCs w:val="26"/>
          <w:u w:val="single"/>
        </w:rPr>
        <w:t xml:space="preserve"> – AGGIUNTIVO</w:t>
      </w:r>
    </w:p>
    <w:p w14:paraId="626762CD" w14:textId="77777777" w:rsidR="00A83260" w:rsidRPr="00D514B8" w:rsidRDefault="00A83260" w:rsidP="00A83260">
      <w:pPr>
        <w:spacing w:after="0" w:line="360" w:lineRule="auto"/>
        <w:jc w:val="center"/>
        <w:rPr>
          <w:rFonts w:ascii="Times New Roman" w:eastAsia="Arial" w:hAnsi="Times New Roman" w:cs="Times New Roman"/>
          <w:bCs/>
          <w:sz w:val="26"/>
          <w:szCs w:val="26"/>
        </w:rPr>
      </w:pPr>
      <w:r>
        <w:rPr>
          <w:rFonts w:ascii="Times New Roman" w:hAnsi="Times New Roman" w:cs="Times New Roman"/>
          <w:b/>
          <w:color w:val="0000FF"/>
          <w:sz w:val="26"/>
          <w:szCs w:val="26"/>
          <w:u w:val="single"/>
        </w:rPr>
        <w:t>(Ristrutturazione della bollettazione sui rifiuti)</w:t>
      </w:r>
    </w:p>
    <w:p w14:paraId="33464B8F" w14:textId="4E16408F" w:rsidR="00A83260" w:rsidRDefault="00A83260" w:rsidP="00A83260">
      <w:pPr>
        <w:pStyle w:val="Paragrafoelenco"/>
        <w:numPr>
          <w:ilvl w:val="0"/>
          <w:numId w:val="31"/>
        </w:numPr>
        <w:spacing w:after="0" w:line="360" w:lineRule="auto"/>
        <w:ind w:left="0" w:firstLine="0"/>
        <w:jc w:val="both"/>
        <w:rPr>
          <w:rFonts w:ascii="Times New Roman" w:eastAsia="Arial" w:hAnsi="Times New Roman" w:cs="Times New Roman"/>
          <w:sz w:val="26"/>
          <w:szCs w:val="26"/>
        </w:rPr>
      </w:pPr>
      <w:r w:rsidRPr="0048642C">
        <w:rPr>
          <w:rFonts w:ascii="Times New Roman" w:eastAsia="Arial" w:hAnsi="Times New Roman" w:cs="Times New Roman"/>
          <w:sz w:val="26"/>
          <w:szCs w:val="26"/>
        </w:rPr>
        <w:t xml:space="preserve">È dato mandato al Congresso di Stato di produrre, entro 45 giorni dall’entrata in vigore della presente </w:t>
      </w:r>
      <w:r w:rsidR="005214BF">
        <w:rPr>
          <w:rFonts w:ascii="Times New Roman" w:eastAsia="Arial" w:hAnsi="Times New Roman" w:cs="Times New Roman"/>
          <w:sz w:val="26"/>
          <w:szCs w:val="26"/>
        </w:rPr>
        <w:t>L</w:t>
      </w:r>
      <w:r w:rsidRPr="0048642C">
        <w:rPr>
          <w:rFonts w:ascii="Times New Roman" w:eastAsia="Arial" w:hAnsi="Times New Roman" w:cs="Times New Roman"/>
          <w:sz w:val="26"/>
          <w:szCs w:val="26"/>
        </w:rPr>
        <w:t xml:space="preserve">egge, una relazione alla Commissione </w:t>
      </w:r>
      <w:r w:rsidR="005214BF">
        <w:rPr>
          <w:rFonts w:ascii="Times New Roman" w:eastAsia="Arial" w:hAnsi="Times New Roman" w:cs="Times New Roman"/>
          <w:sz w:val="26"/>
          <w:szCs w:val="26"/>
        </w:rPr>
        <w:t>C</w:t>
      </w:r>
      <w:r w:rsidRPr="0048642C">
        <w:rPr>
          <w:rFonts w:ascii="Times New Roman" w:eastAsia="Arial" w:hAnsi="Times New Roman" w:cs="Times New Roman"/>
          <w:sz w:val="26"/>
          <w:szCs w:val="26"/>
        </w:rPr>
        <w:t>onsiliare</w:t>
      </w:r>
      <w:r w:rsidRPr="00713D24">
        <w:t xml:space="preserve"> </w:t>
      </w:r>
      <w:r>
        <w:rPr>
          <w:rFonts w:ascii="Times New Roman" w:eastAsia="Arial" w:hAnsi="Times New Roman" w:cs="Times New Roman"/>
          <w:sz w:val="26"/>
          <w:szCs w:val="26"/>
        </w:rPr>
        <w:t>competente</w:t>
      </w:r>
      <w:r w:rsidRPr="0048642C">
        <w:rPr>
          <w:rFonts w:ascii="Times New Roman" w:eastAsia="Arial" w:hAnsi="Times New Roman" w:cs="Times New Roman"/>
          <w:sz w:val="26"/>
          <w:szCs w:val="26"/>
        </w:rPr>
        <w:t xml:space="preserve"> che indichi le modalità e le tempistiche per l’introduzione di forme di tariffazione puntuale per lo smaltimento di rifiuti solidi urbani, basate sulla quant</w:t>
      </w:r>
      <w:r>
        <w:rPr>
          <w:rFonts w:ascii="Times New Roman" w:eastAsia="Arial" w:hAnsi="Times New Roman" w:cs="Times New Roman"/>
          <w:sz w:val="26"/>
          <w:szCs w:val="26"/>
        </w:rPr>
        <w:t>ità di rifiuto indifferenziato prodotto, nonché forme di incentivazione per coloro i quali riducano la quantità complessivi di rifiuti conferiti.</w:t>
      </w:r>
    </w:p>
    <w:p w14:paraId="2ACD74CF" w14:textId="77777777" w:rsidR="00A83260" w:rsidRPr="00FE24CE" w:rsidRDefault="00A83260" w:rsidP="00A83260">
      <w:pPr>
        <w:pStyle w:val="Paragrafoelenco"/>
        <w:numPr>
          <w:ilvl w:val="0"/>
          <w:numId w:val="31"/>
        </w:numPr>
        <w:spacing w:after="0" w:line="360" w:lineRule="auto"/>
        <w:ind w:left="0" w:firstLine="0"/>
        <w:jc w:val="both"/>
        <w:rPr>
          <w:rFonts w:ascii="Times New Roman" w:eastAsia="Arial" w:hAnsi="Times New Roman" w:cs="Times New Roman"/>
          <w:sz w:val="26"/>
          <w:szCs w:val="26"/>
        </w:rPr>
      </w:pPr>
      <w:r w:rsidRPr="00FE24CE">
        <w:rPr>
          <w:rFonts w:ascii="Times New Roman" w:eastAsia="Arial" w:hAnsi="Times New Roman" w:cs="Times New Roman"/>
          <w:sz w:val="26"/>
          <w:szCs w:val="26"/>
        </w:rPr>
        <w:t>La relazione dovrà delineare le modalità di applicazione, in attesa del raggiungimento della tariffazione puntuale, di un regime transitorio di tariffazione che tenga conto anche della numerosità dei componenti del nucleo familiare oltre che dei consumi elettrici.</w:t>
      </w:r>
    </w:p>
    <w:p w14:paraId="2706E418" w14:textId="77777777" w:rsidR="00A83260" w:rsidRDefault="00A83260" w:rsidP="00A83260">
      <w:pPr>
        <w:spacing w:after="0" w:line="360" w:lineRule="auto"/>
        <w:jc w:val="both"/>
        <w:rPr>
          <w:rFonts w:ascii="Times New Roman" w:eastAsia="Arial" w:hAnsi="Times New Roman" w:cs="Times New Roman"/>
          <w:sz w:val="26"/>
          <w:szCs w:val="26"/>
        </w:rPr>
      </w:pPr>
    </w:p>
    <w:p w14:paraId="4E693DB7" w14:textId="6451DFAA" w:rsidR="00A83260" w:rsidRDefault="00A83260" w:rsidP="00A83260">
      <w:pPr>
        <w:pStyle w:val="Paragrafoelenco"/>
        <w:tabs>
          <w:tab w:val="left" w:pos="0"/>
        </w:tabs>
        <w:spacing w:after="0" w:line="360" w:lineRule="auto"/>
        <w:ind w:left="0"/>
        <w:jc w:val="center"/>
        <w:rPr>
          <w:rFonts w:ascii="Times New Roman" w:hAnsi="Times New Roman" w:cs="Times New Roman"/>
          <w:b/>
          <w:color w:val="0000FF"/>
          <w:sz w:val="26"/>
          <w:szCs w:val="26"/>
          <w:u w:val="single"/>
        </w:rPr>
      </w:pPr>
      <w:r>
        <w:rPr>
          <w:rFonts w:ascii="Times New Roman" w:hAnsi="Times New Roman" w:cs="Times New Roman"/>
          <w:b/>
          <w:color w:val="0000FF"/>
          <w:sz w:val="26"/>
          <w:szCs w:val="26"/>
          <w:u w:val="single"/>
        </w:rPr>
        <w:t xml:space="preserve">Articolo </w:t>
      </w:r>
      <w:r w:rsidR="00615917">
        <w:rPr>
          <w:rFonts w:ascii="Times New Roman" w:hAnsi="Times New Roman" w:cs="Times New Roman"/>
          <w:b/>
          <w:color w:val="0000FF"/>
          <w:sz w:val="26"/>
          <w:szCs w:val="26"/>
          <w:u w:val="single"/>
        </w:rPr>
        <w:t>1</w:t>
      </w:r>
      <w:r w:rsidR="0010766E">
        <w:rPr>
          <w:rFonts w:ascii="Times New Roman" w:hAnsi="Times New Roman" w:cs="Times New Roman"/>
          <w:b/>
          <w:color w:val="0000FF"/>
          <w:sz w:val="26"/>
          <w:szCs w:val="26"/>
          <w:u w:val="single"/>
        </w:rPr>
        <w:t xml:space="preserve"> </w:t>
      </w:r>
      <w:proofErr w:type="spellStart"/>
      <w:r w:rsidR="00615917">
        <w:rPr>
          <w:rFonts w:ascii="Times New Roman" w:hAnsi="Times New Roman" w:cs="Times New Roman"/>
          <w:b/>
          <w:color w:val="0000FF"/>
          <w:sz w:val="26"/>
          <w:szCs w:val="26"/>
          <w:u w:val="single"/>
        </w:rPr>
        <w:t>sexies</w:t>
      </w:r>
      <w:proofErr w:type="spellEnd"/>
      <w:r>
        <w:rPr>
          <w:rFonts w:ascii="Times New Roman" w:hAnsi="Times New Roman" w:cs="Times New Roman"/>
          <w:b/>
          <w:color w:val="0000FF"/>
          <w:sz w:val="26"/>
          <w:szCs w:val="26"/>
          <w:u w:val="single"/>
        </w:rPr>
        <w:t xml:space="preserve"> – AGGIUNTIVO</w:t>
      </w:r>
    </w:p>
    <w:p w14:paraId="36717CE2" w14:textId="77777777" w:rsidR="00A83260" w:rsidRPr="00D514B8" w:rsidRDefault="00A83260" w:rsidP="00A83260">
      <w:pPr>
        <w:spacing w:after="0" w:line="360" w:lineRule="auto"/>
        <w:jc w:val="center"/>
        <w:rPr>
          <w:rFonts w:ascii="Times New Roman" w:eastAsia="Arial" w:hAnsi="Times New Roman" w:cs="Times New Roman"/>
          <w:bCs/>
          <w:sz w:val="26"/>
          <w:szCs w:val="26"/>
        </w:rPr>
      </w:pPr>
      <w:r>
        <w:rPr>
          <w:rFonts w:ascii="Times New Roman" w:hAnsi="Times New Roman" w:cs="Times New Roman"/>
          <w:b/>
          <w:color w:val="0000FF"/>
          <w:sz w:val="26"/>
          <w:szCs w:val="26"/>
          <w:u w:val="single"/>
        </w:rPr>
        <w:t>(Piano per l’autonomia energetica)</w:t>
      </w:r>
    </w:p>
    <w:p w14:paraId="3AD0B70E" w14:textId="77777777" w:rsidR="00A83260" w:rsidRPr="002574B0" w:rsidRDefault="00A83260" w:rsidP="00A83260">
      <w:pPr>
        <w:pStyle w:val="Paragrafoelenco"/>
        <w:numPr>
          <w:ilvl w:val="0"/>
          <w:numId w:val="32"/>
        </w:numPr>
        <w:spacing w:after="0" w:line="360" w:lineRule="auto"/>
        <w:ind w:left="0" w:firstLine="0"/>
        <w:jc w:val="both"/>
        <w:rPr>
          <w:rFonts w:ascii="Times New Roman" w:eastAsia="Arial" w:hAnsi="Times New Roman" w:cs="Times New Roman"/>
          <w:sz w:val="26"/>
          <w:szCs w:val="26"/>
        </w:rPr>
      </w:pPr>
      <w:r w:rsidRPr="002574B0">
        <w:rPr>
          <w:rFonts w:ascii="Times New Roman" w:eastAsia="Arial" w:hAnsi="Times New Roman" w:cs="Times New Roman"/>
          <w:sz w:val="26"/>
          <w:szCs w:val="26"/>
        </w:rPr>
        <w:t>È dato mandato al Congresso di Stato di produrre alla Commissione consiliare</w:t>
      </w:r>
      <w:r w:rsidRPr="00713D24">
        <w:t xml:space="preserve"> </w:t>
      </w:r>
      <w:r w:rsidRPr="002574B0">
        <w:rPr>
          <w:rFonts w:ascii="Times New Roman" w:eastAsia="Arial" w:hAnsi="Times New Roman" w:cs="Times New Roman"/>
          <w:sz w:val="26"/>
          <w:szCs w:val="26"/>
        </w:rPr>
        <w:t xml:space="preserve">competente, entro 45 giorni dall’entrata in vigore della presente legge, un piano esecutivo che indichi gli interventi, pubblici e da incentivare in capo al settore privato, per incrementare il </w:t>
      </w:r>
      <w:r w:rsidRPr="002574B0">
        <w:rPr>
          <w:rFonts w:ascii="Times New Roman" w:eastAsia="Arial" w:hAnsi="Times New Roman" w:cs="Times New Roman"/>
          <w:sz w:val="26"/>
          <w:szCs w:val="26"/>
        </w:rPr>
        <w:lastRenderedPageBreak/>
        <w:t>livello di autonomia energetica e idrica della Repubblica di San Marino, individuando in maniera precisa gli interventi da compiere, i tempi di realizzazione, gli investimenti necessari, le eventuali forme di partnership pubblico-privato.</w:t>
      </w:r>
    </w:p>
    <w:p w14:paraId="740B5C77" w14:textId="77777777" w:rsidR="00A83260" w:rsidRPr="002574B0" w:rsidRDefault="00A83260" w:rsidP="00A83260">
      <w:pPr>
        <w:pStyle w:val="Paragrafoelenco"/>
        <w:numPr>
          <w:ilvl w:val="0"/>
          <w:numId w:val="32"/>
        </w:numPr>
        <w:spacing w:after="0" w:line="360" w:lineRule="auto"/>
        <w:ind w:left="0" w:firstLine="0"/>
        <w:jc w:val="both"/>
        <w:rPr>
          <w:rFonts w:ascii="Times New Roman" w:eastAsia="Arial" w:hAnsi="Times New Roman" w:cs="Times New Roman"/>
          <w:sz w:val="26"/>
          <w:szCs w:val="26"/>
        </w:rPr>
      </w:pPr>
      <w:r w:rsidRPr="002574B0">
        <w:rPr>
          <w:rFonts w:ascii="Times New Roman" w:eastAsia="Arial" w:hAnsi="Times New Roman" w:cs="Times New Roman"/>
          <w:sz w:val="26"/>
          <w:szCs w:val="26"/>
        </w:rPr>
        <w:t>La relazione dovrà essere la base per l’individuazione, nella prima legge di variazione di bilancio utile, delle necessarie risorse per avviare la realizzazione di quanto indicato.</w:t>
      </w:r>
    </w:p>
    <w:p w14:paraId="72E72CE6" w14:textId="77777777" w:rsidR="00A83260" w:rsidRDefault="00A83260" w:rsidP="00A83260">
      <w:pPr>
        <w:spacing w:after="0" w:line="360" w:lineRule="auto"/>
        <w:jc w:val="both"/>
        <w:rPr>
          <w:rFonts w:ascii="Times New Roman" w:eastAsia="Arial" w:hAnsi="Times New Roman" w:cs="Times New Roman"/>
          <w:sz w:val="26"/>
          <w:szCs w:val="26"/>
        </w:rPr>
      </w:pPr>
    </w:p>
    <w:p w14:paraId="29B27482" w14:textId="3AB8F312" w:rsidR="00A83260" w:rsidRDefault="00A83260" w:rsidP="00A83260">
      <w:pPr>
        <w:pStyle w:val="Paragrafoelenco"/>
        <w:tabs>
          <w:tab w:val="left" w:pos="0"/>
        </w:tabs>
        <w:spacing w:after="0" w:line="360" w:lineRule="auto"/>
        <w:ind w:left="0"/>
        <w:jc w:val="center"/>
        <w:rPr>
          <w:rFonts w:ascii="Times New Roman" w:hAnsi="Times New Roman" w:cs="Times New Roman"/>
          <w:b/>
          <w:color w:val="0000FF"/>
          <w:sz w:val="26"/>
          <w:szCs w:val="26"/>
          <w:u w:val="single"/>
        </w:rPr>
      </w:pPr>
      <w:r>
        <w:rPr>
          <w:rFonts w:ascii="Times New Roman" w:hAnsi="Times New Roman" w:cs="Times New Roman"/>
          <w:b/>
          <w:color w:val="0000FF"/>
          <w:sz w:val="26"/>
          <w:szCs w:val="26"/>
          <w:u w:val="single"/>
        </w:rPr>
        <w:t xml:space="preserve">Articolo </w:t>
      </w:r>
      <w:r w:rsidR="00615917">
        <w:rPr>
          <w:rFonts w:ascii="Times New Roman" w:hAnsi="Times New Roman" w:cs="Times New Roman"/>
          <w:b/>
          <w:color w:val="0000FF"/>
          <w:sz w:val="26"/>
          <w:szCs w:val="26"/>
          <w:u w:val="single"/>
        </w:rPr>
        <w:t>1</w:t>
      </w:r>
      <w:r w:rsidR="0010766E">
        <w:rPr>
          <w:rFonts w:ascii="Times New Roman" w:hAnsi="Times New Roman" w:cs="Times New Roman"/>
          <w:b/>
          <w:color w:val="0000FF"/>
          <w:sz w:val="26"/>
          <w:szCs w:val="26"/>
          <w:u w:val="single"/>
        </w:rPr>
        <w:t xml:space="preserve"> </w:t>
      </w:r>
      <w:proofErr w:type="spellStart"/>
      <w:r w:rsidR="00615917">
        <w:rPr>
          <w:rFonts w:ascii="Times New Roman" w:hAnsi="Times New Roman" w:cs="Times New Roman"/>
          <w:b/>
          <w:color w:val="0000FF"/>
          <w:sz w:val="26"/>
          <w:szCs w:val="26"/>
          <w:u w:val="single"/>
        </w:rPr>
        <w:t>septies</w:t>
      </w:r>
      <w:proofErr w:type="spellEnd"/>
      <w:r>
        <w:rPr>
          <w:rFonts w:ascii="Times New Roman" w:hAnsi="Times New Roman" w:cs="Times New Roman"/>
          <w:b/>
          <w:color w:val="0000FF"/>
          <w:sz w:val="26"/>
          <w:szCs w:val="26"/>
          <w:u w:val="single"/>
        </w:rPr>
        <w:t xml:space="preserve"> – AGGIUNTIVO</w:t>
      </w:r>
    </w:p>
    <w:p w14:paraId="3E2C69EE" w14:textId="77777777" w:rsidR="00A83260" w:rsidRPr="00D514B8" w:rsidRDefault="00A83260" w:rsidP="00A83260">
      <w:pPr>
        <w:spacing w:after="0" w:line="360" w:lineRule="auto"/>
        <w:jc w:val="center"/>
        <w:rPr>
          <w:rFonts w:ascii="Times New Roman" w:eastAsia="Arial" w:hAnsi="Times New Roman" w:cs="Times New Roman"/>
          <w:bCs/>
          <w:sz w:val="26"/>
          <w:szCs w:val="26"/>
        </w:rPr>
      </w:pPr>
      <w:r>
        <w:rPr>
          <w:rFonts w:ascii="Times New Roman" w:hAnsi="Times New Roman" w:cs="Times New Roman"/>
          <w:b/>
          <w:color w:val="0000FF"/>
          <w:sz w:val="26"/>
          <w:szCs w:val="26"/>
          <w:u w:val="single"/>
        </w:rPr>
        <w:t>(Aiuti alle famiglie sulle bollette)</w:t>
      </w:r>
    </w:p>
    <w:p w14:paraId="48E8ACF9" w14:textId="77777777" w:rsidR="00A83260" w:rsidRPr="00C005F7" w:rsidRDefault="00A83260" w:rsidP="00A83260">
      <w:pPr>
        <w:pStyle w:val="Paragrafoelenco"/>
        <w:numPr>
          <w:ilvl w:val="0"/>
          <w:numId w:val="33"/>
        </w:numPr>
        <w:spacing w:after="0" w:line="360" w:lineRule="auto"/>
        <w:ind w:left="0" w:firstLine="0"/>
        <w:jc w:val="both"/>
        <w:rPr>
          <w:rFonts w:ascii="Times New Roman" w:eastAsia="Arial" w:hAnsi="Times New Roman" w:cs="Times New Roman"/>
          <w:sz w:val="26"/>
          <w:szCs w:val="26"/>
        </w:rPr>
      </w:pPr>
      <w:r w:rsidRPr="00C005F7">
        <w:rPr>
          <w:rFonts w:ascii="Times New Roman" w:eastAsia="Arial" w:hAnsi="Times New Roman" w:cs="Times New Roman"/>
          <w:sz w:val="26"/>
          <w:szCs w:val="26"/>
        </w:rPr>
        <w:t>È dato mandato al Congresso di Stato di introdurre con Decreto Delegato forme di aiuto alle famiglie e alle imprese rispetto al rincaro delle bollette di gas ed energia elettrica recentemente approvate.</w:t>
      </w:r>
    </w:p>
    <w:p w14:paraId="21409A4F" w14:textId="77777777" w:rsidR="00A83260" w:rsidRPr="00C005F7" w:rsidRDefault="00A83260" w:rsidP="00A83260">
      <w:pPr>
        <w:pStyle w:val="Paragrafoelenco"/>
        <w:numPr>
          <w:ilvl w:val="0"/>
          <w:numId w:val="33"/>
        </w:numPr>
        <w:spacing w:after="0" w:line="360" w:lineRule="auto"/>
        <w:ind w:left="0" w:firstLine="0"/>
        <w:jc w:val="both"/>
        <w:rPr>
          <w:rFonts w:ascii="Times New Roman" w:eastAsia="Arial" w:hAnsi="Times New Roman" w:cs="Times New Roman"/>
          <w:sz w:val="26"/>
          <w:szCs w:val="26"/>
        </w:rPr>
      </w:pPr>
      <w:r w:rsidRPr="00C005F7">
        <w:rPr>
          <w:rFonts w:ascii="Times New Roman" w:eastAsia="Arial" w:hAnsi="Times New Roman" w:cs="Times New Roman"/>
          <w:sz w:val="26"/>
          <w:szCs w:val="26"/>
        </w:rPr>
        <w:t>Il Decreto Delegato dovrà prevedere:</w:t>
      </w:r>
    </w:p>
    <w:p w14:paraId="466C97F9" w14:textId="7C489D03" w:rsidR="00A83260" w:rsidRPr="00C005F7" w:rsidRDefault="00A83260" w:rsidP="00A83260">
      <w:pPr>
        <w:pStyle w:val="Paragrafoelenco"/>
        <w:numPr>
          <w:ilvl w:val="0"/>
          <w:numId w:val="34"/>
        </w:numPr>
        <w:spacing w:after="0" w:line="360" w:lineRule="auto"/>
        <w:jc w:val="both"/>
        <w:rPr>
          <w:rFonts w:ascii="Times New Roman" w:eastAsia="Arial" w:hAnsi="Times New Roman" w:cs="Times New Roman"/>
          <w:sz w:val="26"/>
          <w:szCs w:val="26"/>
        </w:rPr>
      </w:pPr>
      <w:proofErr w:type="gramStart"/>
      <w:r w:rsidRPr="00C005F7">
        <w:rPr>
          <w:rFonts w:ascii="Times New Roman" w:eastAsia="Arial" w:hAnsi="Times New Roman" w:cs="Times New Roman"/>
          <w:sz w:val="26"/>
          <w:szCs w:val="26"/>
        </w:rPr>
        <w:t>per</w:t>
      </w:r>
      <w:proofErr w:type="gramEnd"/>
      <w:r w:rsidRPr="00C005F7">
        <w:rPr>
          <w:rFonts w:ascii="Times New Roman" w:eastAsia="Arial" w:hAnsi="Times New Roman" w:cs="Times New Roman"/>
          <w:sz w:val="26"/>
          <w:szCs w:val="26"/>
        </w:rPr>
        <w:t xml:space="preserve"> quanto riguarda il gas, un trasferimento al bilancio dello Stato del 90% della differenza fra i costi imputati a famiglie e imprese in bolletta e il costo medio annuale di approv</w:t>
      </w:r>
      <w:r w:rsidR="005214BF">
        <w:rPr>
          <w:rFonts w:ascii="Times New Roman" w:eastAsia="Arial" w:hAnsi="Times New Roman" w:cs="Times New Roman"/>
          <w:sz w:val="26"/>
          <w:szCs w:val="26"/>
        </w:rPr>
        <w:t>v</w:t>
      </w:r>
      <w:r w:rsidRPr="00C005F7">
        <w:rPr>
          <w:rFonts w:ascii="Times New Roman" w:eastAsia="Arial" w:hAnsi="Times New Roman" w:cs="Times New Roman"/>
          <w:sz w:val="26"/>
          <w:szCs w:val="26"/>
        </w:rPr>
        <w:t>igionamento che A</w:t>
      </w:r>
      <w:r w:rsidR="005214BF">
        <w:rPr>
          <w:rFonts w:ascii="Times New Roman" w:eastAsia="Arial" w:hAnsi="Times New Roman" w:cs="Times New Roman"/>
          <w:sz w:val="26"/>
          <w:szCs w:val="26"/>
        </w:rPr>
        <w:t>ASS</w:t>
      </w:r>
      <w:r w:rsidRPr="00C005F7">
        <w:rPr>
          <w:rFonts w:ascii="Times New Roman" w:eastAsia="Arial" w:hAnsi="Times New Roman" w:cs="Times New Roman"/>
          <w:sz w:val="26"/>
          <w:szCs w:val="26"/>
        </w:rPr>
        <w:t xml:space="preserve"> sostiene, tenendo conto dei contratti di copertura finanziaria vigenti; tali introiti dovranno essere redistribuite per la riduzione delle tariffe sulla fasce di consumo inferiori;</w:t>
      </w:r>
    </w:p>
    <w:p w14:paraId="4F0F0C0A" w14:textId="77777777" w:rsidR="00A83260" w:rsidRPr="00C005F7" w:rsidRDefault="00A83260" w:rsidP="00A83260">
      <w:pPr>
        <w:pStyle w:val="Paragrafoelenco"/>
        <w:numPr>
          <w:ilvl w:val="0"/>
          <w:numId w:val="34"/>
        </w:numPr>
        <w:spacing w:after="0" w:line="360" w:lineRule="auto"/>
        <w:jc w:val="both"/>
        <w:rPr>
          <w:rFonts w:ascii="Times New Roman" w:eastAsia="Arial" w:hAnsi="Times New Roman" w:cs="Times New Roman"/>
          <w:sz w:val="26"/>
          <w:szCs w:val="26"/>
        </w:rPr>
      </w:pPr>
      <w:r w:rsidRPr="00C005F7">
        <w:rPr>
          <w:rFonts w:ascii="Times New Roman" w:eastAsia="Arial" w:hAnsi="Times New Roman" w:cs="Times New Roman"/>
          <w:sz w:val="26"/>
          <w:szCs w:val="26"/>
        </w:rPr>
        <w:t xml:space="preserve">per quanto riguarda l’energia elettrica, l’introduzione di forme di “spread”, aggiuntivi rispetto alla tariffa di mercato, sulle fasce di consumo più elevate, da redistribuire per la riduzione delle tariffe sulle fasce di consumo inferiori. </w:t>
      </w:r>
    </w:p>
    <w:p w14:paraId="0F4DBAA5" w14:textId="77777777" w:rsidR="00A83260" w:rsidRPr="00C005F7" w:rsidRDefault="00A83260" w:rsidP="00A83260">
      <w:pPr>
        <w:pStyle w:val="Paragrafoelenco"/>
        <w:numPr>
          <w:ilvl w:val="0"/>
          <w:numId w:val="33"/>
        </w:numPr>
        <w:spacing w:after="0" w:line="360" w:lineRule="auto"/>
        <w:ind w:left="0" w:firstLine="0"/>
        <w:jc w:val="both"/>
        <w:rPr>
          <w:rFonts w:ascii="Times New Roman" w:eastAsia="Arial" w:hAnsi="Times New Roman" w:cs="Times New Roman"/>
          <w:sz w:val="26"/>
          <w:szCs w:val="26"/>
        </w:rPr>
      </w:pPr>
      <w:r w:rsidRPr="00C005F7">
        <w:rPr>
          <w:rFonts w:ascii="Times New Roman" w:eastAsia="Arial" w:hAnsi="Times New Roman" w:cs="Times New Roman"/>
          <w:sz w:val="26"/>
          <w:szCs w:val="26"/>
        </w:rPr>
        <w:t>Il Decreto Delegato definisce, rispetto al comma precedente, le fasce di consumo su cui applicare gli aumenti e le riduzioni.</w:t>
      </w:r>
    </w:p>
    <w:p w14:paraId="33FE0BB5" w14:textId="67890DE7" w:rsidR="00A83260" w:rsidRPr="00C005F7" w:rsidRDefault="00A83260" w:rsidP="00A83260">
      <w:pPr>
        <w:pStyle w:val="Paragrafoelenco"/>
        <w:numPr>
          <w:ilvl w:val="0"/>
          <w:numId w:val="33"/>
        </w:numPr>
        <w:spacing w:after="0" w:line="360" w:lineRule="auto"/>
        <w:ind w:left="0" w:firstLine="0"/>
        <w:jc w:val="both"/>
        <w:rPr>
          <w:rFonts w:ascii="Times New Roman" w:eastAsia="Arial" w:hAnsi="Times New Roman" w:cs="Times New Roman"/>
          <w:sz w:val="26"/>
          <w:szCs w:val="26"/>
        </w:rPr>
      </w:pPr>
      <w:r w:rsidRPr="00C005F7">
        <w:rPr>
          <w:rFonts w:ascii="Times New Roman" w:eastAsia="Arial" w:hAnsi="Times New Roman" w:cs="Times New Roman"/>
          <w:sz w:val="26"/>
          <w:szCs w:val="26"/>
        </w:rPr>
        <w:t>Le risorse trasferite da A</w:t>
      </w:r>
      <w:r w:rsidR="005214BF">
        <w:rPr>
          <w:rFonts w:ascii="Times New Roman" w:eastAsia="Arial" w:hAnsi="Times New Roman" w:cs="Times New Roman"/>
          <w:sz w:val="26"/>
          <w:szCs w:val="26"/>
        </w:rPr>
        <w:t>ASS</w:t>
      </w:r>
      <w:r w:rsidRPr="00C005F7">
        <w:rPr>
          <w:rFonts w:ascii="Times New Roman" w:eastAsia="Arial" w:hAnsi="Times New Roman" w:cs="Times New Roman"/>
          <w:sz w:val="26"/>
          <w:szCs w:val="26"/>
        </w:rPr>
        <w:t>, ai sensi del comma 2 lettera a), o incamerate tramite gli spread, ai sensi del comma 2 lettera b), sono incamerate sul capitolo in entrata XXX. Gli interventi di sostegno indicati al comma 2 sono imputati sul capitolo in uscita XXX</w:t>
      </w:r>
    </w:p>
    <w:p w14:paraId="34F8609F" w14:textId="77777777" w:rsidR="005214BF" w:rsidRDefault="005214BF" w:rsidP="00A83260">
      <w:pPr>
        <w:spacing w:after="0" w:line="360" w:lineRule="auto"/>
        <w:jc w:val="center"/>
        <w:rPr>
          <w:rFonts w:ascii="Times New Roman" w:eastAsia="Arial" w:hAnsi="Times New Roman" w:cs="Times New Roman"/>
          <w:b/>
          <w:color w:val="FF3636"/>
          <w:sz w:val="40"/>
          <w:szCs w:val="40"/>
          <w:u w:val="single"/>
        </w:rPr>
      </w:pPr>
    </w:p>
    <w:p w14:paraId="26E0ADAA" w14:textId="24641D7C" w:rsidR="00615917" w:rsidRPr="00615917" w:rsidRDefault="00615917" w:rsidP="00615917">
      <w:pPr>
        <w:pStyle w:val="Paragrafoelenco"/>
        <w:tabs>
          <w:tab w:val="left" w:pos="0"/>
        </w:tabs>
        <w:spacing w:after="0" w:line="360" w:lineRule="auto"/>
        <w:ind w:left="0"/>
        <w:jc w:val="center"/>
        <w:rPr>
          <w:rFonts w:ascii="Times New Roman" w:hAnsi="Times New Roman" w:cs="Times New Roman"/>
          <w:b/>
          <w:color w:val="FF0000"/>
          <w:sz w:val="40"/>
          <w:szCs w:val="40"/>
          <w:u w:val="single"/>
        </w:rPr>
      </w:pPr>
      <w:r w:rsidRPr="00615917">
        <w:rPr>
          <w:rFonts w:ascii="Times New Roman" w:hAnsi="Times New Roman" w:cs="Times New Roman"/>
          <w:b/>
          <w:color w:val="FF0000"/>
          <w:sz w:val="40"/>
          <w:szCs w:val="40"/>
          <w:u w:val="single"/>
        </w:rPr>
        <w:t xml:space="preserve">TEMA </w:t>
      </w:r>
      <w:r>
        <w:rPr>
          <w:rFonts w:ascii="Times New Roman" w:hAnsi="Times New Roman" w:cs="Times New Roman"/>
          <w:b/>
          <w:color w:val="FF0000"/>
          <w:sz w:val="40"/>
          <w:szCs w:val="40"/>
          <w:u w:val="single"/>
        </w:rPr>
        <w:t>LEGATI AL COSTO DELLA VITA / WELFARE</w:t>
      </w:r>
    </w:p>
    <w:p w14:paraId="2E5FDA92" w14:textId="2F110350" w:rsidR="00A83260" w:rsidRDefault="00A83260" w:rsidP="00A83260">
      <w:pPr>
        <w:pStyle w:val="Paragrafoelenco"/>
        <w:tabs>
          <w:tab w:val="left" w:pos="0"/>
        </w:tabs>
        <w:spacing w:after="0" w:line="360" w:lineRule="auto"/>
        <w:ind w:left="0"/>
        <w:jc w:val="center"/>
        <w:rPr>
          <w:rFonts w:ascii="Times New Roman" w:hAnsi="Times New Roman" w:cs="Times New Roman"/>
          <w:b/>
          <w:color w:val="0000FF"/>
          <w:sz w:val="26"/>
          <w:szCs w:val="26"/>
          <w:u w:val="single"/>
        </w:rPr>
      </w:pPr>
      <w:r>
        <w:rPr>
          <w:rFonts w:ascii="Times New Roman" w:hAnsi="Times New Roman" w:cs="Times New Roman"/>
          <w:b/>
          <w:color w:val="0000FF"/>
          <w:sz w:val="26"/>
          <w:szCs w:val="26"/>
          <w:u w:val="single"/>
        </w:rPr>
        <w:t xml:space="preserve">Articolo </w:t>
      </w:r>
      <w:r w:rsidR="00615917">
        <w:rPr>
          <w:rFonts w:ascii="Times New Roman" w:hAnsi="Times New Roman" w:cs="Times New Roman"/>
          <w:b/>
          <w:color w:val="0000FF"/>
          <w:sz w:val="26"/>
          <w:szCs w:val="26"/>
          <w:u w:val="single"/>
        </w:rPr>
        <w:t>1</w:t>
      </w:r>
      <w:r w:rsidR="0010766E">
        <w:rPr>
          <w:rFonts w:ascii="Times New Roman" w:hAnsi="Times New Roman" w:cs="Times New Roman"/>
          <w:b/>
          <w:color w:val="0000FF"/>
          <w:sz w:val="26"/>
          <w:szCs w:val="26"/>
          <w:u w:val="single"/>
        </w:rPr>
        <w:t xml:space="preserve"> </w:t>
      </w:r>
      <w:proofErr w:type="spellStart"/>
      <w:r w:rsidR="00615917">
        <w:rPr>
          <w:rFonts w:ascii="Times New Roman" w:hAnsi="Times New Roman" w:cs="Times New Roman"/>
          <w:b/>
          <w:color w:val="0000FF"/>
          <w:sz w:val="26"/>
          <w:szCs w:val="26"/>
          <w:u w:val="single"/>
        </w:rPr>
        <w:t>octies</w:t>
      </w:r>
      <w:proofErr w:type="spellEnd"/>
      <w:r>
        <w:rPr>
          <w:rFonts w:ascii="Times New Roman" w:hAnsi="Times New Roman" w:cs="Times New Roman"/>
          <w:b/>
          <w:color w:val="0000FF"/>
          <w:sz w:val="26"/>
          <w:szCs w:val="26"/>
          <w:u w:val="single"/>
        </w:rPr>
        <w:t xml:space="preserve"> – AGGIUNTIVO</w:t>
      </w:r>
    </w:p>
    <w:p w14:paraId="2E50DBCC" w14:textId="77777777" w:rsidR="00A83260" w:rsidRDefault="00A83260" w:rsidP="00A83260">
      <w:pPr>
        <w:pStyle w:val="Paragrafoelenco"/>
        <w:tabs>
          <w:tab w:val="left" w:pos="0"/>
        </w:tabs>
        <w:spacing w:after="0" w:line="360" w:lineRule="auto"/>
        <w:ind w:left="0"/>
        <w:jc w:val="center"/>
        <w:rPr>
          <w:rFonts w:ascii="Times New Roman" w:hAnsi="Times New Roman" w:cs="Times New Roman"/>
          <w:b/>
          <w:color w:val="0000FF"/>
          <w:sz w:val="26"/>
          <w:szCs w:val="26"/>
          <w:u w:val="single"/>
        </w:rPr>
      </w:pPr>
      <w:r>
        <w:rPr>
          <w:rFonts w:ascii="Times New Roman" w:hAnsi="Times New Roman" w:cs="Times New Roman"/>
          <w:b/>
          <w:color w:val="0000FF"/>
          <w:sz w:val="26"/>
          <w:szCs w:val="26"/>
          <w:u w:val="single"/>
        </w:rPr>
        <w:t>(Credito d’imposta per aumenti salariali)</w:t>
      </w:r>
    </w:p>
    <w:p w14:paraId="6F0CE2E5" w14:textId="77777777" w:rsidR="00A83260" w:rsidRDefault="00A83260" w:rsidP="00A83260">
      <w:pPr>
        <w:pStyle w:val="Paragrafoelenco"/>
        <w:numPr>
          <w:ilvl w:val="0"/>
          <w:numId w:val="1"/>
        </w:numPr>
        <w:tabs>
          <w:tab w:val="left" w:pos="0"/>
        </w:tabs>
        <w:spacing w:after="0" w:line="360" w:lineRule="auto"/>
        <w:ind w:left="0" w:firstLine="0"/>
        <w:jc w:val="both"/>
        <w:rPr>
          <w:rFonts w:ascii="Times New Roman" w:hAnsi="Times New Roman" w:cs="Times New Roman"/>
          <w:sz w:val="26"/>
          <w:szCs w:val="26"/>
        </w:rPr>
      </w:pPr>
      <w:r>
        <w:rPr>
          <w:rFonts w:ascii="Times New Roman" w:hAnsi="Times New Roman" w:cs="Times New Roman"/>
          <w:sz w:val="26"/>
          <w:szCs w:val="26"/>
        </w:rPr>
        <w:lastRenderedPageBreak/>
        <w:t>Al fine di favorire i rinnovi contrattuali attraverso la corresponsione di incrementi salariali il più vicino possibile all’andamento del costo della vita e con l’obiettivo di rendere sostenibili questi aumenti per le imprese, per un periodo di 3 anni, rinnovabili in caso prosegua la fase storica di elevata inflazione, è previsto un credito di imposta per le imprese che eroghino aumenti salariali, anche a livello aziendale, superiori rispetto all’andamento della produttività del proprio settore di appartenenza. Il credito d’imposta è pari al 95% della differenza fra aumento salariale erogato ed aumento della produttività registrato, moltiplicato per il numero dei lavoratori impiegati.</w:t>
      </w:r>
    </w:p>
    <w:p w14:paraId="5C695776" w14:textId="77777777" w:rsidR="00A83260" w:rsidRDefault="00A83260" w:rsidP="00A83260">
      <w:pPr>
        <w:pStyle w:val="Paragrafoelenco"/>
        <w:numPr>
          <w:ilvl w:val="0"/>
          <w:numId w:val="1"/>
        </w:numPr>
        <w:tabs>
          <w:tab w:val="left" w:pos="0"/>
        </w:tabs>
        <w:spacing w:after="0" w:line="360" w:lineRule="auto"/>
        <w:ind w:left="0" w:firstLine="0"/>
        <w:jc w:val="both"/>
        <w:rPr>
          <w:rFonts w:ascii="Times New Roman" w:hAnsi="Times New Roman" w:cs="Times New Roman"/>
          <w:sz w:val="26"/>
          <w:szCs w:val="26"/>
        </w:rPr>
      </w:pPr>
      <w:r>
        <w:rPr>
          <w:rFonts w:ascii="Times New Roman" w:hAnsi="Times New Roman" w:cs="Times New Roman"/>
          <w:sz w:val="26"/>
          <w:szCs w:val="26"/>
        </w:rPr>
        <w:t>Con Decreto Delegato sono disciplinate:</w:t>
      </w:r>
    </w:p>
    <w:p w14:paraId="504D35D7" w14:textId="77777777" w:rsidR="00A83260" w:rsidRDefault="00A83260" w:rsidP="00A83260">
      <w:pPr>
        <w:pStyle w:val="Paragrafoelenco"/>
        <w:numPr>
          <w:ilvl w:val="0"/>
          <w:numId w:val="2"/>
        </w:numPr>
        <w:tabs>
          <w:tab w:val="left" w:pos="0"/>
        </w:tabs>
        <w:spacing w:after="0" w:line="360" w:lineRule="auto"/>
        <w:ind w:left="284" w:firstLine="0"/>
        <w:jc w:val="both"/>
        <w:rPr>
          <w:rFonts w:ascii="Times New Roman" w:hAnsi="Times New Roman" w:cs="Times New Roman"/>
          <w:sz w:val="26"/>
          <w:szCs w:val="26"/>
        </w:rPr>
      </w:pPr>
      <w:r>
        <w:rPr>
          <w:rFonts w:ascii="Times New Roman" w:hAnsi="Times New Roman" w:cs="Times New Roman"/>
          <w:sz w:val="26"/>
          <w:szCs w:val="26"/>
        </w:rPr>
        <w:t>le modalità per addivenire ad un calcolo oggettivo della produttività del settore di appartenenza,</w:t>
      </w:r>
    </w:p>
    <w:p w14:paraId="3D174921" w14:textId="77777777" w:rsidR="00A83260" w:rsidRDefault="00A83260" w:rsidP="00A83260">
      <w:pPr>
        <w:pStyle w:val="Paragrafoelenco"/>
        <w:numPr>
          <w:ilvl w:val="0"/>
          <w:numId w:val="2"/>
        </w:numPr>
        <w:tabs>
          <w:tab w:val="left" w:pos="0"/>
        </w:tabs>
        <w:spacing w:after="0" w:line="360" w:lineRule="auto"/>
        <w:ind w:left="284" w:firstLine="0"/>
        <w:jc w:val="both"/>
        <w:rPr>
          <w:rFonts w:ascii="Times New Roman" w:hAnsi="Times New Roman" w:cs="Times New Roman"/>
          <w:sz w:val="26"/>
          <w:szCs w:val="26"/>
        </w:rPr>
      </w:pPr>
      <w:r>
        <w:rPr>
          <w:rFonts w:ascii="Times New Roman" w:hAnsi="Times New Roman" w:cs="Times New Roman"/>
          <w:sz w:val="26"/>
          <w:szCs w:val="26"/>
        </w:rPr>
        <w:t>è eventualmente rinnovato il periodo di permanenza in vigore dell’incentivo,</w:t>
      </w:r>
    </w:p>
    <w:p w14:paraId="415D5087" w14:textId="77777777" w:rsidR="00A83260" w:rsidRDefault="00A83260" w:rsidP="00A83260">
      <w:pPr>
        <w:pStyle w:val="Paragrafoelenco"/>
        <w:numPr>
          <w:ilvl w:val="0"/>
          <w:numId w:val="2"/>
        </w:numPr>
        <w:tabs>
          <w:tab w:val="left" w:pos="0"/>
        </w:tabs>
        <w:spacing w:after="0" w:line="360" w:lineRule="auto"/>
        <w:ind w:left="284" w:firstLine="0"/>
        <w:jc w:val="both"/>
        <w:rPr>
          <w:rFonts w:ascii="Times New Roman" w:hAnsi="Times New Roman" w:cs="Times New Roman"/>
          <w:sz w:val="26"/>
          <w:szCs w:val="26"/>
        </w:rPr>
      </w:pPr>
      <w:r>
        <w:rPr>
          <w:rFonts w:ascii="Times New Roman" w:hAnsi="Times New Roman" w:cs="Times New Roman"/>
          <w:sz w:val="26"/>
          <w:szCs w:val="26"/>
        </w:rPr>
        <w:t>sono eventualmente previsti dei limiti superiori al credito d’imposta erogabile per singola azienda.</w:t>
      </w:r>
    </w:p>
    <w:p w14:paraId="33E72735" w14:textId="77777777" w:rsidR="00A83260" w:rsidRDefault="00A83260" w:rsidP="00A83260">
      <w:pPr>
        <w:pStyle w:val="Paragrafoelenco"/>
        <w:tabs>
          <w:tab w:val="left" w:pos="0"/>
        </w:tabs>
        <w:spacing w:after="0" w:line="360" w:lineRule="auto"/>
        <w:ind w:left="0"/>
        <w:jc w:val="both"/>
        <w:rPr>
          <w:sz w:val="32"/>
          <w:szCs w:val="32"/>
        </w:rPr>
      </w:pPr>
    </w:p>
    <w:p w14:paraId="45D7DFC4" w14:textId="614BABF7" w:rsidR="00A83260" w:rsidRDefault="00A83260" w:rsidP="00A83260">
      <w:pPr>
        <w:pStyle w:val="Paragrafoelenco"/>
        <w:tabs>
          <w:tab w:val="left" w:pos="0"/>
        </w:tabs>
        <w:spacing w:after="0" w:line="360" w:lineRule="auto"/>
        <w:ind w:left="0"/>
        <w:jc w:val="center"/>
        <w:rPr>
          <w:rFonts w:ascii="Times New Roman" w:hAnsi="Times New Roman" w:cs="Times New Roman"/>
          <w:b/>
          <w:color w:val="0000FF"/>
          <w:sz w:val="26"/>
          <w:szCs w:val="26"/>
          <w:u w:val="single"/>
        </w:rPr>
      </w:pPr>
      <w:r>
        <w:rPr>
          <w:rFonts w:ascii="Times New Roman" w:hAnsi="Times New Roman" w:cs="Times New Roman"/>
          <w:b/>
          <w:color w:val="0000FF"/>
          <w:sz w:val="26"/>
          <w:szCs w:val="26"/>
          <w:u w:val="single"/>
        </w:rPr>
        <w:t xml:space="preserve">Articolo </w:t>
      </w:r>
      <w:r w:rsidR="00615917">
        <w:rPr>
          <w:rFonts w:ascii="Times New Roman" w:hAnsi="Times New Roman" w:cs="Times New Roman"/>
          <w:b/>
          <w:color w:val="0000FF"/>
          <w:sz w:val="26"/>
          <w:szCs w:val="26"/>
          <w:u w:val="single"/>
        </w:rPr>
        <w:t>1</w:t>
      </w:r>
      <w:r w:rsidR="0010766E">
        <w:rPr>
          <w:rFonts w:ascii="Times New Roman" w:hAnsi="Times New Roman" w:cs="Times New Roman"/>
          <w:b/>
          <w:color w:val="0000FF"/>
          <w:sz w:val="26"/>
          <w:szCs w:val="26"/>
          <w:u w:val="single"/>
        </w:rPr>
        <w:t xml:space="preserve"> </w:t>
      </w:r>
      <w:proofErr w:type="spellStart"/>
      <w:r w:rsidR="00615917">
        <w:rPr>
          <w:rFonts w:ascii="Times New Roman" w:hAnsi="Times New Roman" w:cs="Times New Roman"/>
          <w:b/>
          <w:color w:val="0000FF"/>
          <w:sz w:val="26"/>
          <w:szCs w:val="26"/>
          <w:u w:val="single"/>
        </w:rPr>
        <w:t>novies</w:t>
      </w:r>
      <w:proofErr w:type="spellEnd"/>
      <w:r>
        <w:rPr>
          <w:rFonts w:ascii="Times New Roman" w:hAnsi="Times New Roman" w:cs="Times New Roman"/>
          <w:b/>
          <w:color w:val="0000FF"/>
          <w:sz w:val="26"/>
          <w:szCs w:val="26"/>
          <w:u w:val="single"/>
        </w:rPr>
        <w:t xml:space="preserve"> – AGGIUNTIVO</w:t>
      </w:r>
    </w:p>
    <w:p w14:paraId="05B02EEF" w14:textId="77777777" w:rsidR="00A83260" w:rsidRDefault="00A83260" w:rsidP="00A83260">
      <w:pPr>
        <w:pStyle w:val="Paragrafoelenco"/>
        <w:tabs>
          <w:tab w:val="left" w:pos="0"/>
        </w:tabs>
        <w:spacing w:after="0" w:line="360" w:lineRule="auto"/>
        <w:ind w:left="0"/>
        <w:jc w:val="center"/>
        <w:rPr>
          <w:rFonts w:ascii="Times New Roman" w:hAnsi="Times New Roman" w:cs="Times New Roman"/>
          <w:b/>
          <w:color w:val="0000FF"/>
          <w:sz w:val="26"/>
          <w:szCs w:val="26"/>
          <w:u w:val="single"/>
        </w:rPr>
      </w:pPr>
      <w:r>
        <w:rPr>
          <w:rFonts w:ascii="Times New Roman" w:hAnsi="Times New Roman" w:cs="Times New Roman"/>
          <w:b/>
          <w:color w:val="0000FF"/>
          <w:sz w:val="26"/>
          <w:szCs w:val="26"/>
          <w:u w:val="single"/>
        </w:rPr>
        <w:t>(Detassazione del welfare aziendale)</w:t>
      </w:r>
    </w:p>
    <w:p w14:paraId="53053A4D" w14:textId="77777777" w:rsidR="00A83260" w:rsidRDefault="00A83260" w:rsidP="00A83260">
      <w:pPr>
        <w:pStyle w:val="Paragrafoelenco"/>
        <w:numPr>
          <w:ilvl w:val="0"/>
          <w:numId w:val="3"/>
        </w:numPr>
        <w:tabs>
          <w:tab w:val="left" w:pos="0"/>
        </w:tabs>
        <w:spacing w:after="0" w:line="360" w:lineRule="auto"/>
        <w:ind w:left="0" w:firstLine="0"/>
        <w:jc w:val="both"/>
        <w:rPr>
          <w:rFonts w:ascii="Times New Roman" w:hAnsi="Times New Roman" w:cs="Times New Roman"/>
          <w:sz w:val="26"/>
          <w:szCs w:val="26"/>
        </w:rPr>
      </w:pPr>
      <w:r>
        <w:rPr>
          <w:rFonts w:ascii="Times New Roman" w:hAnsi="Times New Roman" w:cs="Times New Roman"/>
          <w:sz w:val="26"/>
          <w:szCs w:val="26"/>
        </w:rPr>
        <w:t>Al fine di favorire l’erogazione di forme di retribuzione indiretta da parte delle aziende nei confronti dei propri dipendenti e con l’obiettivo di mitigare l’impatto del costo della vita in capo alle famiglie, per un periodo di 3 anni, rinnovabili in caso prosegua la fase storica di elevata inflazione, è previsto un credito d’imposta per interventi di “welfare aziendale” posti in essere dalle imprese sammarinesi per un ammontare massimo fino a 1500€ annui per dipendente.</w:t>
      </w:r>
    </w:p>
    <w:p w14:paraId="0A9A6DA6" w14:textId="77777777" w:rsidR="00A83260" w:rsidRDefault="00A83260" w:rsidP="00A83260">
      <w:pPr>
        <w:pStyle w:val="Paragrafoelenco"/>
        <w:numPr>
          <w:ilvl w:val="0"/>
          <w:numId w:val="3"/>
        </w:numPr>
        <w:tabs>
          <w:tab w:val="left" w:pos="0"/>
        </w:tabs>
        <w:spacing w:after="0" w:line="360" w:lineRule="auto"/>
        <w:ind w:left="0" w:firstLine="0"/>
        <w:jc w:val="both"/>
        <w:rPr>
          <w:rFonts w:ascii="Times New Roman" w:hAnsi="Times New Roman" w:cs="Times New Roman"/>
          <w:sz w:val="26"/>
          <w:szCs w:val="26"/>
        </w:rPr>
      </w:pPr>
      <w:r>
        <w:rPr>
          <w:rFonts w:ascii="Times New Roman" w:hAnsi="Times New Roman" w:cs="Times New Roman"/>
          <w:sz w:val="26"/>
          <w:szCs w:val="26"/>
        </w:rPr>
        <w:t xml:space="preserve">Con “welfare aziendale” si intendono un insieme di benefit e prestazioni non monetarie, ovvero monetarie ma non direttamente legate ad aumenti salariali (quali, a titolo esemplificativo, contributi per il pagamento delle bollette o dei servizi di assistenza familiare) erogate a favore dei dipendenti, con l’obiettivo di migliorarne qualità della vita e benessere. </w:t>
      </w:r>
    </w:p>
    <w:p w14:paraId="616D2C54" w14:textId="77777777" w:rsidR="00A83260" w:rsidRDefault="00A83260" w:rsidP="00A83260">
      <w:pPr>
        <w:pStyle w:val="Paragrafoelenco"/>
        <w:numPr>
          <w:ilvl w:val="0"/>
          <w:numId w:val="3"/>
        </w:numPr>
        <w:tabs>
          <w:tab w:val="left" w:pos="0"/>
        </w:tabs>
        <w:spacing w:after="0" w:line="360" w:lineRule="auto"/>
        <w:ind w:left="0" w:firstLine="0"/>
        <w:jc w:val="both"/>
        <w:rPr>
          <w:rFonts w:ascii="Times New Roman" w:hAnsi="Times New Roman" w:cs="Times New Roman"/>
          <w:sz w:val="26"/>
          <w:szCs w:val="26"/>
        </w:rPr>
      </w:pPr>
      <w:r>
        <w:rPr>
          <w:rFonts w:ascii="Times New Roman" w:hAnsi="Times New Roman" w:cs="Times New Roman"/>
          <w:sz w:val="26"/>
          <w:szCs w:val="26"/>
        </w:rPr>
        <w:t>Con Decreto Delegato:</w:t>
      </w:r>
    </w:p>
    <w:p w14:paraId="344A871B" w14:textId="77777777" w:rsidR="00A83260" w:rsidRDefault="00A83260" w:rsidP="00A83260">
      <w:pPr>
        <w:pStyle w:val="Paragrafoelenco"/>
        <w:numPr>
          <w:ilvl w:val="0"/>
          <w:numId w:val="4"/>
        </w:numPr>
        <w:tabs>
          <w:tab w:val="left" w:pos="0"/>
        </w:tabs>
        <w:spacing w:after="0" w:line="360" w:lineRule="auto"/>
        <w:ind w:left="284" w:firstLine="0"/>
        <w:jc w:val="both"/>
        <w:rPr>
          <w:rFonts w:ascii="Times New Roman" w:hAnsi="Times New Roman" w:cs="Times New Roman"/>
          <w:sz w:val="26"/>
          <w:szCs w:val="26"/>
        </w:rPr>
      </w:pPr>
      <w:r>
        <w:rPr>
          <w:rFonts w:ascii="Times New Roman" w:hAnsi="Times New Roman" w:cs="Times New Roman"/>
          <w:sz w:val="26"/>
          <w:szCs w:val="26"/>
        </w:rPr>
        <w:t xml:space="preserve">sono definite le forme di welfare aziendale incentivabili, </w:t>
      </w:r>
    </w:p>
    <w:p w14:paraId="2A2DE290" w14:textId="77777777" w:rsidR="00A83260" w:rsidRDefault="00A83260" w:rsidP="00A83260">
      <w:pPr>
        <w:pStyle w:val="Paragrafoelenco"/>
        <w:numPr>
          <w:ilvl w:val="0"/>
          <w:numId w:val="4"/>
        </w:numPr>
        <w:tabs>
          <w:tab w:val="left" w:pos="0"/>
        </w:tabs>
        <w:spacing w:after="0" w:line="360" w:lineRule="auto"/>
        <w:ind w:left="284" w:firstLine="0"/>
        <w:jc w:val="both"/>
        <w:rPr>
          <w:rFonts w:ascii="Times New Roman" w:hAnsi="Times New Roman" w:cs="Times New Roman"/>
          <w:sz w:val="26"/>
          <w:szCs w:val="26"/>
        </w:rPr>
      </w:pPr>
      <w:r>
        <w:rPr>
          <w:rFonts w:ascii="Times New Roman" w:hAnsi="Times New Roman" w:cs="Times New Roman"/>
          <w:sz w:val="26"/>
          <w:szCs w:val="26"/>
        </w:rPr>
        <w:t>sono eventualmente previsti dei limiti superiori al credito d’imposta erogabile per singola azienda;</w:t>
      </w:r>
    </w:p>
    <w:p w14:paraId="3D597A4A" w14:textId="77777777" w:rsidR="00A83260" w:rsidRDefault="00A83260" w:rsidP="00A83260">
      <w:pPr>
        <w:pStyle w:val="Paragrafoelenco"/>
        <w:numPr>
          <w:ilvl w:val="0"/>
          <w:numId w:val="4"/>
        </w:numPr>
        <w:tabs>
          <w:tab w:val="left" w:pos="0"/>
        </w:tabs>
        <w:spacing w:after="0" w:line="360" w:lineRule="auto"/>
        <w:ind w:left="284" w:firstLine="0"/>
        <w:jc w:val="both"/>
        <w:rPr>
          <w:rFonts w:ascii="Times New Roman" w:hAnsi="Times New Roman" w:cs="Times New Roman"/>
          <w:sz w:val="26"/>
          <w:szCs w:val="26"/>
        </w:rPr>
      </w:pPr>
      <w:r>
        <w:rPr>
          <w:rFonts w:ascii="Times New Roman" w:hAnsi="Times New Roman" w:cs="Times New Roman"/>
          <w:sz w:val="26"/>
          <w:szCs w:val="26"/>
        </w:rPr>
        <w:t>è eventualmente rinnovato il periodo di permanenza in vigore dell’incentivo.</w:t>
      </w:r>
    </w:p>
    <w:p w14:paraId="2CB549C4" w14:textId="77777777" w:rsidR="00A83260" w:rsidRDefault="00A83260" w:rsidP="00A83260">
      <w:pPr>
        <w:tabs>
          <w:tab w:val="left" w:pos="0"/>
        </w:tabs>
        <w:spacing w:after="0" w:line="360" w:lineRule="auto"/>
        <w:jc w:val="both"/>
        <w:rPr>
          <w:rFonts w:ascii="Times New Roman" w:hAnsi="Times New Roman" w:cs="Times New Roman"/>
          <w:sz w:val="26"/>
          <w:szCs w:val="26"/>
        </w:rPr>
      </w:pPr>
    </w:p>
    <w:p w14:paraId="41DBB8B9" w14:textId="593F0264" w:rsidR="00A83260" w:rsidRDefault="00A83260" w:rsidP="00A83260">
      <w:pPr>
        <w:pStyle w:val="Paragrafoelenco"/>
        <w:tabs>
          <w:tab w:val="left" w:pos="0"/>
        </w:tabs>
        <w:spacing w:after="0" w:line="360" w:lineRule="auto"/>
        <w:ind w:left="0"/>
        <w:jc w:val="center"/>
        <w:rPr>
          <w:rFonts w:ascii="Times New Roman" w:hAnsi="Times New Roman" w:cs="Times New Roman"/>
          <w:b/>
          <w:color w:val="0000FF"/>
          <w:sz w:val="26"/>
          <w:szCs w:val="26"/>
          <w:u w:val="single"/>
        </w:rPr>
      </w:pPr>
      <w:r>
        <w:rPr>
          <w:rFonts w:ascii="Times New Roman" w:hAnsi="Times New Roman" w:cs="Times New Roman"/>
          <w:b/>
          <w:color w:val="0000FF"/>
          <w:sz w:val="26"/>
          <w:szCs w:val="26"/>
          <w:u w:val="single"/>
        </w:rPr>
        <w:t xml:space="preserve">Articolo </w:t>
      </w:r>
      <w:r w:rsidR="00615917">
        <w:rPr>
          <w:rFonts w:ascii="Times New Roman" w:hAnsi="Times New Roman" w:cs="Times New Roman"/>
          <w:b/>
          <w:color w:val="0000FF"/>
          <w:sz w:val="26"/>
          <w:szCs w:val="26"/>
          <w:u w:val="single"/>
        </w:rPr>
        <w:t>1</w:t>
      </w:r>
      <w:r w:rsidR="0010766E">
        <w:rPr>
          <w:rFonts w:ascii="Times New Roman" w:hAnsi="Times New Roman" w:cs="Times New Roman"/>
          <w:b/>
          <w:color w:val="0000FF"/>
          <w:sz w:val="26"/>
          <w:szCs w:val="26"/>
          <w:u w:val="single"/>
        </w:rPr>
        <w:t xml:space="preserve"> </w:t>
      </w:r>
      <w:proofErr w:type="spellStart"/>
      <w:r w:rsidR="00615917">
        <w:rPr>
          <w:rFonts w:ascii="Times New Roman" w:hAnsi="Times New Roman" w:cs="Times New Roman"/>
          <w:b/>
          <w:color w:val="0000FF"/>
          <w:sz w:val="26"/>
          <w:szCs w:val="26"/>
          <w:u w:val="single"/>
        </w:rPr>
        <w:t>decies</w:t>
      </w:r>
      <w:proofErr w:type="spellEnd"/>
      <w:r w:rsidR="00615917">
        <w:rPr>
          <w:rFonts w:ascii="Times New Roman" w:hAnsi="Times New Roman" w:cs="Times New Roman"/>
          <w:b/>
          <w:color w:val="0000FF"/>
          <w:sz w:val="26"/>
          <w:szCs w:val="26"/>
          <w:u w:val="single"/>
        </w:rPr>
        <w:t xml:space="preserve"> </w:t>
      </w:r>
      <w:r>
        <w:rPr>
          <w:rFonts w:ascii="Times New Roman" w:hAnsi="Times New Roman" w:cs="Times New Roman"/>
          <w:b/>
          <w:color w:val="0000FF"/>
          <w:sz w:val="26"/>
          <w:szCs w:val="26"/>
          <w:u w:val="single"/>
        </w:rPr>
        <w:t>– AGGIUNTIVO</w:t>
      </w:r>
    </w:p>
    <w:p w14:paraId="254A66DA" w14:textId="77777777" w:rsidR="00A83260" w:rsidRDefault="00A83260" w:rsidP="00A83260">
      <w:pPr>
        <w:tabs>
          <w:tab w:val="left" w:pos="0"/>
        </w:tabs>
        <w:spacing w:after="0" w:line="360" w:lineRule="auto"/>
        <w:jc w:val="center"/>
        <w:rPr>
          <w:rFonts w:ascii="Times New Roman" w:hAnsi="Times New Roman" w:cs="Times New Roman"/>
          <w:sz w:val="26"/>
          <w:szCs w:val="26"/>
        </w:rPr>
      </w:pPr>
      <w:r>
        <w:rPr>
          <w:rFonts w:ascii="Times New Roman" w:hAnsi="Times New Roman" w:cs="Times New Roman"/>
          <w:b/>
          <w:color w:val="0000FF"/>
          <w:sz w:val="26"/>
          <w:szCs w:val="26"/>
          <w:u w:val="single"/>
        </w:rPr>
        <w:t>(Riduzione tariffe asili nido dal secondo figlio)</w:t>
      </w:r>
    </w:p>
    <w:p w14:paraId="32588446" w14:textId="77777777" w:rsidR="00A83260" w:rsidRDefault="00A83260" w:rsidP="00A83260">
      <w:pPr>
        <w:pStyle w:val="Paragrafoelenco"/>
        <w:numPr>
          <w:ilvl w:val="0"/>
          <w:numId w:val="5"/>
        </w:numPr>
        <w:tabs>
          <w:tab w:val="left" w:pos="0"/>
        </w:tabs>
        <w:spacing w:after="0" w:line="360" w:lineRule="auto"/>
        <w:ind w:left="0" w:firstLine="0"/>
        <w:jc w:val="both"/>
        <w:rPr>
          <w:rFonts w:ascii="Times New Roman" w:hAnsi="Times New Roman" w:cs="Times New Roman"/>
          <w:sz w:val="26"/>
          <w:szCs w:val="26"/>
        </w:rPr>
      </w:pPr>
      <w:r>
        <w:rPr>
          <w:rFonts w:ascii="Times New Roman" w:hAnsi="Times New Roman" w:cs="Times New Roman"/>
          <w:sz w:val="26"/>
          <w:szCs w:val="26"/>
        </w:rPr>
        <w:t>Al fine di ridurre l’impatto del costo degli asili nido sulle famiglie, in presenza di più figli in età di frequentazione di tale servizio, in attesa dell’approvazione dell’ICEE è prevista una riduzione della retta per la frequenza dell’asilo nido, sul secondo figlio,</w:t>
      </w:r>
    </w:p>
    <w:p w14:paraId="08D74B6C" w14:textId="77777777" w:rsidR="00A83260" w:rsidRDefault="00A83260" w:rsidP="00A83260">
      <w:pPr>
        <w:pStyle w:val="Paragrafoelenco"/>
        <w:numPr>
          <w:ilvl w:val="0"/>
          <w:numId w:val="6"/>
        </w:numPr>
        <w:tabs>
          <w:tab w:val="left" w:pos="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dell’85% per le famiglie con reddito pro capite inferiore o uguale a 5.000€ annui;</w:t>
      </w:r>
    </w:p>
    <w:p w14:paraId="4675277B" w14:textId="77777777" w:rsidR="00A83260" w:rsidRDefault="00A83260" w:rsidP="00A83260">
      <w:pPr>
        <w:pStyle w:val="Paragrafoelenco"/>
        <w:numPr>
          <w:ilvl w:val="0"/>
          <w:numId w:val="6"/>
        </w:numPr>
        <w:tabs>
          <w:tab w:val="left" w:pos="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del 75% per le famiglie con reddito pro capite inferiore o uguale 7.500€ annui;</w:t>
      </w:r>
    </w:p>
    <w:p w14:paraId="17786AD5" w14:textId="77777777" w:rsidR="00A83260" w:rsidRDefault="00A83260" w:rsidP="00A83260">
      <w:pPr>
        <w:pStyle w:val="Paragrafoelenco"/>
        <w:numPr>
          <w:ilvl w:val="0"/>
          <w:numId w:val="6"/>
        </w:numPr>
        <w:tabs>
          <w:tab w:val="left" w:pos="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del 60% per le famiglie con reddito pro capite inferiore o uguale a 10.000€ annui;</w:t>
      </w:r>
    </w:p>
    <w:p w14:paraId="01A73C5C" w14:textId="77777777" w:rsidR="00A83260" w:rsidRDefault="00A83260" w:rsidP="00A83260">
      <w:pPr>
        <w:pStyle w:val="Paragrafoelenco"/>
        <w:numPr>
          <w:ilvl w:val="0"/>
          <w:numId w:val="6"/>
        </w:numPr>
        <w:tabs>
          <w:tab w:val="left" w:pos="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del 40% per le famiglie con reddito pro capite inferiore o uguale a 12.500€ annui;</w:t>
      </w:r>
    </w:p>
    <w:p w14:paraId="07C333C6" w14:textId="77777777" w:rsidR="00A83260" w:rsidRDefault="00A83260" w:rsidP="00A83260">
      <w:pPr>
        <w:pStyle w:val="Paragrafoelenco"/>
        <w:numPr>
          <w:ilvl w:val="0"/>
          <w:numId w:val="6"/>
        </w:numPr>
        <w:tabs>
          <w:tab w:val="left" w:pos="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del 20% per le famiglie con reddito pro capite inferiore o uguale a 15.000€ annui.</w:t>
      </w:r>
    </w:p>
    <w:p w14:paraId="66A5D5B2" w14:textId="77777777" w:rsidR="00A83260" w:rsidRDefault="00A83260" w:rsidP="00A83260">
      <w:pPr>
        <w:pStyle w:val="Paragrafoelenco"/>
        <w:numPr>
          <w:ilvl w:val="0"/>
          <w:numId w:val="5"/>
        </w:numPr>
        <w:tabs>
          <w:tab w:val="left" w:pos="0"/>
        </w:tabs>
        <w:spacing w:after="0" w:line="360" w:lineRule="auto"/>
        <w:ind w:left="0" w:firstLine="0"/>
        <w:jc w:val="both"/>
        <w:rPr>
          <w:rFonts w:ascii="Times New Roman" w:hAnsi="Times New Roman" w:cs="Times New Roman"/>
          <w:sz w:val="26"/>
          <w:szCs w:val="26"/>
        </w:rPr>
      </w:pPr>
      <w:r>
        <w:rPr>
          <w:rFonts w:ascii="Times New Roman" w:hAnsi="Times New Roman" w:cs="Times New Roman"/>
          <w:sz w:val="26"/>
          <w:szCs w:val="26"/>
        </w:rPr>
        <w:t>Per i medesimi obiettivi di cui al comma 1, in attesa dell’approvazione dell’ICEE è prevista una riduzione della retta per la frequenza dell’asilo nido, sul terzo figlio e sugli eventuali successivi:</w:t>
      </w:r>
    </w:p>
    <w:p w14:paraId="0303FDCC" w14:textId="77777777" w:rsidR="00A83260" w:rsidRDefault="00A83260" w:rsidP="00A83260">
      <w:pPr>
        <w:pStyle w:val="Paragrafoelenco"/>
        <w:numPr>
          <w:ilvl w:val="0"/>
          <w:numId w:val="7"/>
        </w:numPr>
        <w:tabs>
          <w:tab w:val="left" w:pos="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del 100% per le famiglie con reddito pro capite inferiore o uguale a 5.000€ annui;</w:t>
      </w:r>
    </w:p>
    <w:p w14:paraId="4B2C3B19" w14:textId="77777777" w:rsidR="00A83260" w:rsidRDefault="00A83260" w:rsidP="00A83260">
      <w:pPr>
        <w:pStyle w:val="Paragrafoelenco"/>
        <w:numPr>
          <w:ilvl w:val="0"/>
          <w:numId w:val="7"/>
        </w:numPr>
        <w:tabs>
          <w:tab w:val="left" w:pos="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del 90% per le famiglie con reddito pro capite inferiore o uguale 7.500€ annui;</w:t>
      </w:r>
    </w:p>
    <w:p w14:paraId="7AE40C91" w14:textId="77777777" w:rsidR="00A83260" w:rsidRDefault="00A83260" w:rsidP="00A83260">
      <w:pPr>
        <w:pStyle w:val="Paragrafoelenco"/>
        <w:numPr>
          <w:ilvl w:val="0"/>
          <w:numId w:val="7"/>
        </w:numPr>
        <w:tabs>
          <w:tab w:val="left" w:pos="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del 70% per le famiglie con reddito pro capite inferiore o uguale a 10.000€ annui;</w:t>
      </w:r>
    </w:p>
    <w:p w14:paraId="19C30965" w14:textId="77777777" w:rsidR="00A83260" w:rsidRDefault="00A83260" w:rsidP="00A83260">
      <w:pPr>
        <w:pStyle w:val="Paragrafoelenco"/>
        <w:numPr>
          <w:ilvl w:val="0"/>
          <w:numId w:val="7"/>
        </w:numPr>
        <w:tabs>
          <w:tab w:val="left" w:pos="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del 50% per le famiglie con reddito pro capite inferiore o uguale a 12.500€ annui;</w:t>
      </w:r>
    </w:p>
    <w:p w14:paraId="6A4C1EC3" w14:textId="77777777" w:rsidR="00A83260" w:rsidRDefault="00A83260" w:rsidP="00A83260">
      <w:pPr>
        <w:pStyle w:val="Paragrafoelenco"/>
        <w:numPr>
          <w:ilvl w:val="0"/>
          <w:numId w:val="7"/>
        </w:numPr>
        <w:tabs>
          <w:tab w:val="left" w:pos="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del 25% per le famiglie con reddito pro capite inferiore o uguale a 15.000€ annui.</w:t>
      </w:r>
    </w:p>
    <w:p w14:paraId="05450C17" w14:textId="77777777" w:rsidR="00A83260" w:rsidRDefault="00A83260" w:rsidP="00A83260">
      <w:pPr>
        <w:pStyle w:val="Paragrafoelenco"/>
        <w:numPr>
          <w:ilvl w:val="0"/>
          <w:numId w:val="5"/>
        </w:numPr>
        <w:tabs>
          <w:tab w:val="left" w:pos="0"/>
        </w:tabs>
        <w:spacing w:after="0" w:line="360" w:lineRule="auto"/>
        <w:ind w:left="0" w:firstLine="0"/>
        <w:jc w:val="both"/>
        <w:rPr>
          <w:rFonts w:ascii="Times New Roman" w:hAnsi="Times New Roman" w:cs="Times New Roman"/>
          <w:sz w:val="26"/>
          <w:szCs w:val="26"/>
        </w:rPr>
      </w:pPr>
      <w:r>
        <w:rPr>
          <w:rFonts w:ascii="Times New Roman" w:hAnsi="Times New Roman" w:cs="Times New Roman"/>
          <w:sz w:val="26"/>
          <w:szCs w:val="26"/>
        </w:rPr>
        <w:t>Le disposizioni di cui ai commi precedenti si applicano per l’anno 2023, 2024 e 2025. Con Decreto Delegato può essere prevista la proroga di tale periodo nonché, in caso di approvazione dell’ICEE, la revisione delle fasce di reddito.</w:t>
      </w:r>
    </w:p>
    <w:p w14:paraId="44ED7B63" w14:textId="77777777" w:rsidR="00A83260" w:rsidRDefault="00A83260" w:rsidP="00A83260">
      <w:pPr>
        <w:pStyle w:val="Paragrafoelenco"/>
        <w:tabs>
          <w:tab w:val="left" w:pos="0"/>
        </w:tabs>
        <w:spacing w:after="0" w:line="360" w:lineRule="auto"/>
        <w:ind w:left="0"/>
        <w:jc w:val="both"/>
        <w:rPr>
          <w:rFonts w:ascii="Arial" w:eastAsia="Arial" w:hAnsi="Arial" w:cs="Arial"/>
          <w:color w:val="252525"/>
          <w:sz w:val="32"/>
          <w:szCs w:val="32"/>
        </w:rPr>
      </w:pPr>
    </w:p>
    <w:p w14:paraId="65A3652C" w14:textId="1C934807" w:rsidR="00A83260" w:rsidRDefault="00A83260" w:rsidP="00A83260">
      <w:pPr>
        <w:pStyle w:val="Paragrafoelenco"/>
        <w:tabs>
          <w:tab w:val="left" w:pos="0"/>
        </w:tabs>
        <w:spacing w:after="0" w:line="360" w:lineRule="auto"/>
        <w:ind w:left="0"/>
        <w:jc w:val="center"/>
        <w:rPr>
          <w:rFonts w:ascii="Times New Roman" w:hAnsi="Times New Roman" w:cs="Times New Roman"/>
          <w:b/>
          <w:color w:val="0000FF"/>
          <w:sz w:val="26"/>
          <w:szCs w:val="26"/>
          <w:u w:val="single"/>
        </w:rPr>
      </w:pPr>
      <w:r>
        <w:rPr>
          <w:rFonts w:ascii="Times New Roman" w:hAnsi="Times New Roman" w:cs="Times New Roman"/>
          <w:b/>
          <w:color w:val="0000FF"/>
          <w:sz w:val="26"/>
          <w:szCs w:val="26"/>
          <w:u w:val="single"/>
        </w:rPr>
        <w:t xml:space="preserve">Articolo </w:t>
      </w:r>
      <w:r w:rsidR="00615917">
        <w:rPr>
          <w:rFonts w:ascii="Times New Roman" w:hAnsi="Times New Roman" w:cs="Times New Roman"/>
          <w:b/>
          <w:color w:val="0000FF"/>
          <w:sz w:val="26"/>
          <w:szCs w:val="26"/>
          <w:u w:val="single"/>
        </w:rPr>
        <w:t>1</w:t>
      </w:r>
      <w:r w:rsidR="0010766E">
        <w:rPr>
          <w:rFonts w:ascii="Times New Roman" w:hAnsi="Times New Roman" w:cs="Times New Roman"/>
          <w:b/>
          <w:color w:val="0000FF"/>
          <w:sz w:val="26"/>
          <w:szCs w:val="26"/>
          <w:u w:val="single"/>
        </w:rPr>
        <w:t xml:space="preserve"> </w:t>
      </w:r>
      <w:proofErr w:type="spellStart"/>
      <w:r w:rsidR="00615917">
        <w:rPr>
          <w:rFonts w:ascii="Times New Roman" w:hAnsi="Times New Roman" w:cs="Times New Roman"/>
          <w:b/>
          <w:color w:val="0000FF"/>
          <w:sz w:val="26"/>
          <w:szCs w:val="26"/>
          <w:u w:val="single"/>
        </w:rPr>
        <w:t>undecies</w:t>
      </w:r>
      <w:proofErr w:type="spellEnd"/>
      <w:r>
        <w:rPr>
          <w:rFonts w:ascii="Times New Roman" w:hAnsi="Times New Roman" w:cs="Times New Roman"/>
          <w:b/>
          <w:color w:val="0000FF"/>
          <w:sz w:val="26"/>
          <w:szCs w:val="26"/>
          <w:u w:val="single"/>
        </w:rPr>
        <w:t xml:space="preserve"> – AGGIUNTIVO</w:t>
      </w:r>
    </w:p>
    <w:p w14:paraId="486D2B84" w14:textId="77777777" w:rsidR="00A83260" w:rsidRDefault="00A83260" w:rsidP="00A83260">
      <w:pPr>
        <w:tabs>
          <w:tab w:val="left" w:pos="0"/>
        </w:tabs>
        <w:spacing w:after="0" w:line="360" w:lineRule="auto"/>
        <w:jc w:val="center"/>
        <w:rPr>
          <w:rFonts w:ascii="Times New Roman" w:hAnsi="Times New Roman" w:cs="Times New Roman"/>
          <w:sz w:val="26"/>
          <w:szCs w:val="26"/>
        </w:rPr>
      </w:pPr>
      <w:r>
        <w:rPr>
          <w:rFonts w:ascii="Times New Roman" w:hAnsi="Times New Roman" w:cs="Times New Roman"/>
          <w:b/>
          <w:color w:val="0000FF"/>
          <w:sz w:val="26"/>
          <w:szCs w:val="26"/>
          <w:u w:val="single"/>
        </w:rPr>
        <w:t>(Adeguamento assegni familiari)</w:t>
      </w:r>
    </w:p>
    <w:p w14:paraId="1F2B3B53" w14:textId="77777777" w:rsidR="00A83260" w:rsidRDefault="00A83260" w:rsidP="00A83260">
      <w:pPr>
        <w:pStyle w:val="Paragrafoelenco"/>
        <w:numPr>
          <w:ilvl w:val="0"/>
          <w:numId w:val="8"/>
        </w:numPr>
        <w:tabs>
          <w:tab w:val="left" w:pos="0"/>
        </w:tabs>
        <w:spacing w:after="0" w:line="360" w:lineRule="auto"/>
        <w:ind w:left="0" w:firstLine="0"/>
        <w:jc w:val="both"/>
        <w:rPr>
          <w:rFonts w:ascii="Times New Roman" w:hAnsi="Times New Roman" w:cs="Times New Roman"/>
          <w:sz w:val="26"/>
          <w:szCs w:val="26"/>
        </w:rPr>
      </w:pPr>
      <w:r>
        <w:rPr>
          <w:rFonts w:ascii="Times New Roman" w:hAnsi="Times New Roman" w:cs="Times New Roman"/>
          <w:sz w:val="26"/>
          <w:szCs w:val="26"/>
        </w:rPr>
        <w:t>Con l’obiettivo di contribuire alla riduzione dell’impatto del costo della vita sulle famiglie, specie quelle più numerose, nonché di favorire la natalità, è disposto l’adeguamento degli assegni familiari rispetto all’inflazione registrata dal 2017 ad oggi e per i prossimi anni, secondo questa progressione:</w:t>
      </w:r>
    </w:p>
    <w:p w14:paraId="588FA6DC" w14:textId="77777777" w:rsidR="00A83260" w:rsidRDefault="00A83260" w:rsidP="00A83260">
      <w:pPr>
        <w:pStyle w:val="Paragrafoelenco"/>
        <w:numPr>
          <w:ilvl w:val="0"/>
          <w:numId w:val="11"/>
        </w:numPr>
        <w:tabs>
          <w:tab w:val="left" w:pos="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redditi fino a 10.000€ annui, adeguamento pari al 100% dell’inflazione;</w:t>
      </w:r>
    </w:p>
    <w:p w14:paraId="1A01193F" w14:textId="77777777" w:rsidR="00A83260" w:rsidRDefault="00A83260" w:rsidP="00A83260">
      <w:pPr>
        <w:pStyle w:val="Paragrafoelenco"/>
        <w:numPr>
          <w:ilvl w:val="0"/>
          <w:numId w:val="11"/>
        </w:numPr>
        <w:tabs>
          <w:tab w:val="left" w:pos="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redditi tra 10.001€ annui e 15.000€ annui, adeguamento pari al 90% dell’inflazione;</w:t>
      </w:r>
    </w:p>
    <w:p w14:paraId="373238C4" w14:textId="77777777" w:rsidR="00A83260" w:rsidRDefault="00A83260" w:rsidP="00A83260">
      <w:pPr>
        <w:pStyle w:val="Paragrafoelenco"/>
        <w:numPr>
          <w:ilvl w:val="0"/>
          <w:numId w:val="11"/>
        </w:numPr>
        <w:tabs>
          <w:tab w:val="left" w:pos="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redditi fra 15.001€ annui e 20.000€ annui: adeguamento pari al 75% dell’inflazione;</w:t>
      </w:r>
    </w:p>
    <w:p w14:paraId="1CB8777E" w14:textId="77777777" w:rsidR="00A83260" w:rsidRDefault="00A83260" w:rsidP="00A83260">
      <w:pPr>
        <w:pStyle w:val="Paragrafoelenco"/>
        <w:numPr>
          <w:ilvl w:val="0"/>
          <w:numId w:val="11"/>
        </w:numPr>
        <w:tabs>
          <w:tab w:val="left" w:pos="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redditi fra 20.001€ annui e 25.000€ annui: adeguamento pari al 55% dell’inflazione;</w:t>
      </w:r>
    </w:p>
    <w:p w14:paraId="6BCCF0C4" w14:textId="77777777" w:rsidR="00A83260" w:rsidRDefault="00A83260" w:rsidP="00A83260">
      <w:pPr>
        <w:pStyle w:val="Paragrafoelenco"/>
        <w:numPr>
          <w:ilvl w:val="0"/>
          <w:numId w:val="11"/>
        </w:numPr>
        <w:tabs>
          <w:tab w:val="left" w:pos="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redditi fra 25.001€ annui e 30.000€ annui: adeguamento pari al 35% dell’inflazione;</w:t>
      </w:r>
    </w:p>
    <w:p w14:paraId="303D80CC" w14:textId="77777777" w:rsidR="00A83260" w:rsidRDefault="00A83260" w:rsidP="00A83260">
      <w:pPr>
        <w:pStyle w:val="Paragrafoelenco"/>
        <w:numPr>
          <w:ilvl w:val="0"/>
          <w:numId w:val="11"/>
        </w:numPr>
        <w:tabs>
          <w:tab w:val="left" w:pos="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redditi fra 30.001€ annui e 35.000€ annui: adeguamento pari al 15% dell’inflazione;</w:t>
      </w:r>
    </w:p>
    <w:p w14:paraId="4282D3AC" w14:textId="77777777" w:rsidR="00A83260" w:rsidRDefault="00A83260" w:rsidP="00A83260">
      <w:pPr>
        <w:pStyle w:val="Paragrafoelenco"/>
        <w:numPr>
          <w:ilvl w:val="0"/>
          <w:numId w:val="11"/>
        </w:numPr>
        <w:tabs>
          <w:tab w:val="left" w:pos="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redditi oltre i 35.000€ annui: nessun adeguamento.</w:t>
      </w:r>
    </w:p>
    <w:p w14:paraId="2FFF44DA" w14:textId="77777777" w:rsidR="00A83260" w:rsidRDefault="00A83260" w:rsidP="00A83260">
      <w:pPr>
        <w:pStyle w:val="Paragrafoelenco"/>
        <w:numPr>
          <w:ilvl w:val="0"/>
          <w:numId w:val="5"/>
        </w:numPr>
        <w:tabs>
          <w:tab w:val="left" w:pos="0"/>
        </w:tabs>
        <w:spacing w:after="0" w:line="360" w:lineRule="auto"/>
        <w:ind w:left="0" w:firstLine="0"/>
        <w:jc w:val="both"/>
        <w:rPr>
          <w:rFonts w:ascii="Times New Roman" w:hAnsi="Times New Roman" w:cs="Times New Roman"/>
          <w:sz w:val="26"/>
          <w:szCs w:val="26"/>
        </w:rPr>
      </w:pPr>
      <w:r>
        <w:rPr>
          <w:rFonts w:ascii="Times New Roman" w:hAnsi="Times New Roman" w:cs="Times New Roman"/>
          <w:sz w:val="26"/>
          <w:szCs w:val="26"/>
        </w:rPr>
        <w:t>Le disposizioni di cui ai commi precedenti si applicano per l’anno 2023, 2024 e 2025. Con Decreto Delegato può essere prevista la proroga di tale periodo nonché, in caso di approvazione dell’ICEE, la revisione delle fasce di reddito.</w:t>
      </w:r>
    </w:p>
    <w:p w14:paraId="6F013117" w14:textId="77777777" w:rsidR="00A83260" w:rsidRDefault="00A83260" w:rsidP="00A83260">
      <w:pPr>
        <w:tabs>
          <w:tab w:val="left" w:pos="0"/>
        </w:tabs>
        <w:spacing w:after="0" w:line="360" w:lineRule="auto"/>
        <w:jc w:val="both"/>
        <w:rPr>
          <w:rFonts w:ascii="Times New Roman" w:hAnsi="Times New Roman" w:cs="Times New Roman"/>
          <w:sz w:val="26"/>
          <w:szCs w:val="26"/>
        </w:rPr>
      </w:pPr>
    </w:p>
    <w:p w14:paraId="1BC52DA7" w14:textId="699BE454" w:rsidR="00A83260" w:rsidRDefault="00A83260" w:rsidP="00A83260">
      <w:pPr>
        <w:pStyle w:val="Paragrafoelenco"/>
        <w:tabs>
          <w:tab w:val="left" w:pos="0"/>
        </w:tabs>
        <w:spacing w:after="0" w:line="360" w:lineRule="auto"/>
        <w:ind w:left="0"/>
        <w:jc w:val="center"/>
        <w:rPr>
          <w:rFonts w:ascii="Times New Roman" w:hAnsi="Times New Roman" w:cs="Times New Roman"/>
          <w:b/>
          <w:color w:val="0000FF"/>
          <w:sz w:val="26"/>
          <w:szCs w:val="26"/>
          <w:u w:val="single"/>
        </w:rPr>
      </w:pPr>
      <w:r>
        <w:rPr>
          <w:rFonts w:ascii="Times New Roman" w:hAnsi="Times New Roman" w:cs="Times New Roman"/>
          <w:b/>
          <w:color w:val="0000FF"/>
          <w:sz w:val="26"/>
          <w:szCs w:val="26"/>
          <w:u w:val="single"/>
        </w:rPr>
        <w:t xml:space="preserve">Articolo </w:t>
      </w:r>
      <w:r w:rsidR="00615917">
        <w:rPr>
          <w:rFonts w:ascii="Times New Roman" w:hAnsi="Times New Roman" w:cs="Times New Roman"/>
          <w:b/>
          <w:color w:val="0000FF"/>
          <w:sz w:val="26"/>
          <w:szCs w:val="26"/>
          <w:u w:val="single"/>
        </w:rPr>
        <w:t>1</w:t>
      </w:r>
      <w:r w:rsidR="0010766E">
        <w:rPr>
          <w:rFonts w:ascii="Times New Roman" w:hAnsi="Times New Roman" w:cs="Times New Roman"/>
          <w:b/>
          <w:color w:val="0000FF"/>
          <w:sz w:val="26"/>
          <w:szCs w:val="26"/>
          <w:u w:val="single"/>
        </w:rPr>
        <w:t xml:space="preserve"> </w:t>
      </w:r>
      <w:r w:rsidR="00615917">
        <w:rPr>
          <w:rFonts w:ascii="Times New Roman" w:hAnsi="Times New Roman" w:cs="Times New Roman"/>
          <w:b/>
          <w:color w:val="0000FF"/>
          <w:sz w:val="26"/>
          <w:szCs w:val="26"/>
          <w:u w:val="single"/>
        </w:rPr>
        <w:t>duo</w:t>
      </w:r>
      <w:r w:rsidR="0010766E">
        <w:rPr>
          <w:rFonts w:ascii="Times New Roman" w:hAnsi="Times New Roman" w:cs="Times New Roman"/>
          <w:b/>
          <w:color w:val="0000FF"/>
          <w:sz w:val="26"/>
          <w:szCs w:val="26"/>
          <w:u w:val="single"/>
        </w:rPr>
        <w:t xml:space="preserve"> </w:t>
      </w:r>
      <w:proofErr w:type="spellStart"/>
      <w:r w:rsidR="00615917">
        <w:rPr>
          <w:rFonts w:ascii="Times New Roman" w:hAnsi="Times New Roman" w:cs="Times New Roman"/>
          <w:b/>
          <w:color w:val="0000FF"/>
          <w:sz w:val="26"/>
          <w:szCs w:val="26"/>
          <w:u w:val="single"/>
        </w:rPr>
        <w:t>decies</w:t>
      </w:r>
      <w:proofErr w:type="spellEnd"/>
      <w:r>
        <w:rPr>
          <w:rFonts w:ascii="Times New Roman" w:hAnsi="Times New Roman" w:cs="Times New Roman"/>
          <w:b/>
          <w:color w:val="0000FF"/>
          <w:sz w:val="26"/>
          <w:szCs w:val="26"/>
          <w:u w:val="single"/>
        </w:rPr>
        <w:t xml:space="preserve"> – AGGIUNTIVO</w:t>
      </w:r>
    </w:p>
    <w:p w14:paraId="76752187" w14:textId="77777777" w:rsidR="00A83260" w:rsidRDefault="00A83260" w:rsidP="00A83260">
      <w:pPr>
        <w:tabs>
          <w:tab w:val="left" w:pos="0"/>
        </w:tabs>
        <w:spacing w:after="0" w:line="360" w:lineRule="auto"/>
        <w:jc w:val="center"/>
        <w:rPr>
          <w:rFonts w:ascii="Times New Roman" w:hAnsi="Times New Roman" w:cs="Times New Roman"/>
          <w:sz w:val="26"/>
          <w:szCs w:val="26"/>
        </w:rPr>
      </w:pPr>
      <w:r>
        <w:rPr>
          <w:rFonts w:ascii="Times New Roman" w:hAnsi="Times New Roman" w:cs="Times New Roman"/>
          <w:b/>
          <w:color w:val="0000FF"/>
          <w:sz w:val="26"/>
          <w:szCs w:val="26"/>
          <w:u w:val="single"/>
        </w:rPr>
        <w:t>(Prevenzione attraverso attività sportive)</w:t>
      </w:r>
    </w:p>
    <w:p w14:paraId="06942B49" w14:textId="77777777" w:rsidR="00A83260" w:rsidRDefault="00A83260" w:rsidP="00A83260">
      <w:pPr>
        <w:pStyle w:val="Paragrafoelenco"/>
        <w:numPr>
          <w:ilvl w:val="0"/>
          <w:numId w:val="9"/>
        </w:numPr>
        <w:tabs>
          <w:tab w:val="left" w:pos="0"/>
        </w:tabs>
        <w:spacing w:after="0" w:line="360" w:lineRule="auto"/>
        <w:ind w:left="0" w:firstLine="0"/>
        <w:jc w:val="both"/>
        <w:rPr>
          <w:rFonts w:ascii="Times New Roman" w:hAnsi="Times New Roman" w:cs="Times New Roman"/>
          <w:sz w:val="26"/>
          <w:szCs w:val="26"/>
        </w:rPr>
      </w:pPr>
      <w:r>
        <w:rPr>
          <w:rFonts w:ascii="Times New Roman" w:hAnsi="Times New Roman" w:cs="Times New Roman"/>
          <w:sz w:val="26"/>
          <w:szCs w:val="26"/>
        </w:rPr>
        <w:t>Con l’obiettivo di favorire lo svolgimento di attività sportive in ottica di prevenzione di problematiche legate alla salute e ridurne l’impatto sui conti delle famiglie sammarinesi, si dà mandato al Congresso di Stato di modificare, tramite Decreto Delegato, l’Allegato A della Legge n.166/2013 e successive modifiche introducendo tra le passività deducibili le spese per l’iscrizione e la frequenza a corsi sportivi e abbonamenti alle palestre per un importo massimo da definirsi, eventualmente, con lo scopo di favorire la frequenza ad attività sportive delle persone più anziane, differenziato a seconda dell’età.</w:t>
      </w:r>
    </w:p>
    <w:p w14:paraId="7D4D5114" w14:textId="77777777" w:rsidR="00A83260" w:rsidRDefault="00A83260" w:rsidP="00A83260">
      <w:pPr>
        <w:tabs>
          <w:tab w:val="left" w:pos="0"/>
        </w:tabs>
        <w:spacing w:after="0" w:line="360" w:lineRule="auto"/>
        <w:jc w:val="both"/>
        <w:rPr>
          <w:rFonts w:ascii="Times New Roman" w:hAnsi="Times New Roman" w:cs="Times New Roman"/>
          <w:sz w:val="26"/>
          <w:szCs w:val="26"/>
        </w:rPr>
      </w:pPr>
    </w:p>
    <w:p w14:paraId="1A2C69FF" w14:textId="1AF4000D" w:rsidR="00A83260" w:rsidRDefault="00A83260" w:rsidP="00A83260">
      <w:pPr>
        <w:pStyle w:val="Paragrafoelenco"/>
        <w:tabs>
          <w:tab w:val="left" w:pos="0"/>
        </w:tabs>
        <w:spacing w:after="0" w:line="360" w:lineRule="auto"/>
        <w:ind w:left="0"/>
        <w:jc w:val="center"/>
        <w:rPr>
          <w:rFonts w:ascii="Times New Roman" w:hAnsi="Times New Roman" w:cs="Times New Roman"/>
          <w:b/>
          <w:color w:val="0000FF"/>
          <w:sz w:val="26"/>
          <w:szCs w:val="26"/>
          <w:u w:val="single"/>
        </w:rPr>
      </w:pPr>
      <w:r>
        <w:rPr>
          <w:rFonts w:ascii="Times New Roman" w:hAnsi="Times New Roman" w:cs="Times New Roman"/>
          <w:b/>
          <w:color w:val="0000FF"/>
          <w:sz w:val="26"/>
          <w:szCs w:val="26"/>
          <w:u w:val="single"/>
        </w:rPr>
        <w:t xml:space="preserve">Articolo </w:t>
      </w:r>
      <w:r w:rsidR="00615917">
        <w:rPr>
          <w:rFonts w:ascii="Times New Roman" w:hAnsi="Times New Roman" w:cs="Times New Roman"/>
          <w:b/>
          <w:color w:val="0000FF"/>
          <w:sz w:val="26"/>
          <w:szCs w:val="26"/>
          <w:u w:val="single"/>
        </w:rPr>
        <w:t>1</w:t>
      </w:r>
      <w:r w:rsidR="0010766E">
        <w:rPr>
          <w:rFonts w:ascii="Times New Roman" w:hAnsi="Times New Roman" w:cs="Times New Roman"/>
          <w:b/>
          <w:color w:val="0000FF"/>
          <w:sz w:val="26"/>
          <w:szCs w:val="26"/>
          <w:u w:val="single"/>
        </w:rPr>
        <w:t xml:space="preserve"> </w:t>
      </w:r>
      <w:r w:rsidR="00615917">
        <w:rPr>
          <w:rFonts w:ascii="Times New Roman" w:hAnsi="Times New Roman" w:cs="Times New Roman"/>
          <w:b/>
          <w:color w:val="0000FF"/>
          <w:sz w:val="26"/>
          <w:szCs w:val="26"/>
          <w:u w:val="single"/>
        </w:rPr>
        <w:t>ter</w:t>
      </w:r>
      <w:r w:rsidR="0010766E">
        <w:rPr>
          <w:rFonts w:ascii="Times New Roman" w:hAnsi="Times New Roman" w:cs="Times New Roman"/>
          <w:b/>
          <w:color w:val="0000FF"/>
          <w:sz w:val="26"/>
          <w:szCs w:val="26"/>
          <w:u w:val="single"/>
        </w:rPr>
        <w:t xml:space="preserve"> </w:t>
      </w:r>
      <w:proofErr w:type="spellStart"/>
      <w:r w:rsidR="00615917">
        <w:rPr>
          <w:rFonts w:ascii="Times New Roman" w:hAnsi="Times New Roman" w:cs="Times New Roman"/>
          <w:b/>
          <w:color w:val="0000FF"/>
          <w:sz w:val="26"/>
          <w:szCs w:val="26"/>
          <w:u w:val="single"/>
        </w:rPr>
        <w:t>decies</w:t>
      </w:r>
      <w:proofErr w:type="spellEnd"/>
      <w:r w:rsidR="00615917">
        <w:rPr>
          <w:rFonts w:ascii="Times New Roman" w:hAnsi="Times New Roman" w:cs="Times New Roman"/>
          <w:b/>
          <w:color w:val="0000FF"/>
          <w:sz w:val="26"/>
          <w:szCs w:val="26"/>
          <w:u w:val="single"/>
        </w:rPr>
        <w:t xml:space="preserve"> </w:t>
      </w:r>
      <w:r>
        <w:rPr>
          <w:rFonts w:ascii="Times New Roman" w:hAnsi="Times New Roman" w:cs="Times New Roman"/>
          <w:b/>
          <w:color w:val="0000FF"/>
          <w:sz w:val="26"/>
          <w:szCs w:val="26"/>
          <w:u w:val="single"/>
        </w:rPr>
        <w:t>– AGGIUNTIVO</w:t>
      </w:r>
    </w:p>
    <w:p w14:paraId="34EB2DAF" w14:textId="77777777" w:rsidR="00A83260" w:rsidRDefault="00A83260" w:rsidP="00A83260">
      <w:pPr>
        <w:tabs>
          <w:tab w:val="left" w:pos="0"/>
        </w:tabs>
        <w:spacing w:after="0" w:line="360" w:lineRule="auto"/>
        <w:jc w:val="center"/>
        <w:rPr>
          <w:rFonts w:ascii="Times New Roman" w:hAnsi="Times New Roman" w:cs="Times New Roman"/>
          <w:sz w:val="26"/>
          <w:szCs w:val="26"/>
        </w:rPr>
      </w:pPr>
      <w:r>
        <w:rPr>
          <w:rFonts w:ascii="Times New Roman" w:hAnsi="Times New Roman" w:cs="Times New Roman"/>
          <w:b/>
          <w:color w:val="0000FF"/>
          <w:sz w:val="26"/>
          <w:szCs w:val="26"/>
          <w:u w:val="single"/>
        </w:rPr>
        <w:t xml:space="preserve">(Aumento dello sconto </w:t>
      </w:r>
      <w:proofErr w:type="gramStart"/>
      <w:r>
        <w:rPr>
          <w:rFonts w:ascii="Times New Roman" w:hAnsi="Times New Roman" w:cs="Times New Roman"/>
          <w:b/>
          <w:color w:val="0000FF"/>
          <w:sz w:val="26"/>
          <w:szCs w:val="26"/>
          <w:u w:val="single"/>
        </w:rPr>
        <w:t>Smac  su</w:t>
      </w:r>
      <w:proofErr w:type="gramEnd"/>
      <w:r>
        <w:rPr>
          <w:rFonts w:ascii="Times New Roman" w:hAnsi="Times New Roman" w:cs="Times New Roman"/>
          <w:b/>
          <w:color w:val="0000FF"/>
          <w:sz w:val="26"/>
          <w:szCs w:val="26"/>
          <w:u w:val="single"/>
        </w:rPr>
        <w:t xml:space="preserve"> prodotti non sostituibili)</w:t>
      </w:r>
    </w:p>
    <w:p w14:paraId="3D446871" w14:textId="77777777" w:rsidR="00A83260" w:rsidRDefault="00A83260" w:rsidP="00A83260">
      <w:pPr>
        <w:numPr>
          <w:ilvl w:val="0"/>
          <w:numId w:val="16"/>
        </w:numPr>
        <w:tabs>
          <w:tab w:val="left" w:pos="0"/>
        </w:tabs>
        <w:spacing w:after="0" w:line="360" w:lineRule="auto"/>
        <w:ind w:left="0" w:firstLine="0"/>
        <w:jc w:val="both"/>
        <w:rPr>
          <w:rFonts w:ascii="Times New Roman" w:hAnsi="Times New Roman" w:cs="Times New Roman"/>
          <w:sz w:val="26"/>
          <w:szCs w:val="26"/>
        </w:rPr>
      </w:pPr>
      <w:r>
        <w:rPr>
          <w:rFonts w:ascii="Times New Roman" w:hAnsi="Times New Roman" w:cs="Times New Roman"/>
          <w:sz w:val="26"/>
          <w:szCs w:val="26"/>
        </w:rPr>
        <w:t>C</w:t>
      </w:r>
      <w:r w:rsidRPr="00D379D2">
        <w:rPr>
          <w:rFonts w:ascii="Times New Roman" w:hAnsi="Times New Roman" w:cs="Times New Roman"/>
          <w:sz w:val="26"/>
          <w:szCs w:val="26"/>
        </w:rPr>
        <w:t xml:space="preserve">on l’obiettivo di incrementare i consumi nel territorio della Repubblica di San Marino e la competitività del sistema, nonché di sostenere </w:t>
      </w:r>
      <w:r>
        <w:rPr>
          <w:rFonts w:ascii="Times New Roman" w:hAnsi="Times New Roman" w:cs="Times New Roman"/>
          <w:sz w:val="26"/>
          <w:szCs w:val="26"/>
        </w:rPr>
        <w:t>i consumi più difficilmente sostituibili o differibili per le famiglie sammarinesi, per tutto il 2023 è previsto l’aumento del 5% dello sconto Smac ovvero per l’erogazione di un bonus di pari importo, a carico dello Stato, sull’acquisto di beni “a domanda rigida” da individuarsi con Decreto Delegato.</w:t>
      </w:r>
    </w:p>
    <w:p w14:paraId="0467970A" w14:textId="77777777" w:rsidR="00A83260" w:rsidRPr="00D379D2" w:rsidRDefault="00A83260" w:rsidP="00A83260">
      <w:pPr>
        <w:numPr>
          <w:ilvl w:val="0"/>
          <w:numId w:val="16"/>
        </w:numPr>
        <w:tabs>
          <w:tab w:val="left" w:pos="0"/>
        </w:tabs>
        <w:spacing w:after="0" w:line="360" w:lineRule="auto"/>
        <w:ind w:left="0" w:firstLine="0"/>
        <w:jc w:val="both"/>
        <w:rPr>
          <w:rFonts w:ascii="Times New Roman" w:hAnsi="Times New Roman" w:cs="Times New Roman"/>
          <w:sz w:val="26"/>
          <w:szCs w:val="26"/>
        </w:rPr>
      </w:pPr>
      <w:r>
        <w:rPr>
          <w:rFonts w:ascii="Times New Roman" w:hAnsi="Times New Roman" w:cs="Times New Roman"/>
          <w:sz w:val="26"/>
          <w:szCs w:val="26"/>
        </w:rPr>
        <w:t>Il Decreto di cui al comma 1 definisce anche le forme applicative per l’erogazione di tale scontistica aggiuntiva e può eventualmente differenziarne l’importo in base al reddito del richiedente.</w:t>
      </w:r>
    </w:p>
    <w:p w14:paraId="151A01E6" w14:textId="77777777" w:rsidR="00A83260" w:rsidRPr="00D379D2" w:rsidRDefault="00A83260" w:rsidP="00A83260">
      <w:pPr>
        <w:tabs>
          <w:tab w:val="left" w:pos="0"/>
        </w:tabs>
        <w:spacing w:after="0" w:line="360" w:lineRule="auto"/>
        <w:jc w:val="both"/>
        <w:rPr>
          <w:rFonts w:ascii="Times New Roman" w:hAnsi="Times New Roman" w:cs="Times New Roman"/>
          <w:sz w:val="26"/>
          <w:szCs w:val="26"/>
        </w:rPr>
      </w:pPr>
    </w:p>
    <w:p w14:paraId="7FC2E0AD" w14:textId="77777777" w:rsidR="00A83260" w:rsidRPr="00BE4481" w:rsidRDefault="00A83260" w:rsidP="00A83260">
      <w:pPr>
        <w:spacing w:after="0" w:line="360" w:lineRule="auto"/>
        <w:jc w:val="center"/>
        <w:rPr>
          <w:rFonts w:ascii="Times New Roman" w:hAnsi="Times New Roman" w:cs="Times New Roman"/>
          <w:sz w:val="40"/>
          <w:szCs w:val="40"/>
        </w:rPr>
      </w:pPr>
      <w:r>
        <w:rPr>
          <w:rFonts w:ascii="Times New Roman" w:eastAsia="Arial" w:hAnsi="Times New Roman" w:cs="Times New Roman"/>
          <w:b/>
          <w:color w:val="FF3636"/>
          <w:sz w:val="40"/>
          <w:szCs w:val="40"/>
          <w:u w:val="single"/>
        </w:rPr>
        <w:t>TEMI LEGATI ALLO SVILUPPO</w:t>
      </w:r>
    </w:p>
    <w:p w14:paraId="72325118" w14:textId="7611370D" w:rsidR="00A83260" w:rsidRDefault="00A83260" w:rsidP="00A83260">
      <w:pPr>
        <w:pStyle w:val="Paragrafoelenco"/>
        <w:tabs>
          <w:tab w:val="left" w:pos="0"/>
        </w:tabs>
        <w:spacing w:after="0" w:line="360" w:lineRule="auto"/>
        <w:ind w:left="0"/>
        <w:jc w:val="center"/>
        <w:rPr>
          <w:rFonts w:ascii="Times New Roman" w:hAnsi="Times New Roman" w:cs="Times New Roman"/>
          <w:b/>
          <w:color w:val="0000FF"/>
          <w:sz w:val="26"/>
          <w:szCs w:val="26"/>
          <w:u w:val="single"/>
        </w:rPr>
      </w:pPr>
      <w:r>
        <w:rPr>
          <w:rFonts w:ascii="Times New Roman" w:hAnsi="Times New Roman" w:cs="Times New Roman"/>
          <w:b/>
          <w:color w:val="0000FF"/>
          <w:sz w:val="26"/>
          <w:szCs w:val="26"/>
          <w:u w:val="single"/>
        </w:rPr>
        <w:t xml:space="preserve">Articolo </w:t>
      </w:r>
      <w:r w:rsidR="00615917">
        <w:rPr>
          <w:rFonts w:ascii="Times New Roman" w:hAnsi="Times New Roman" w:cs="Times New Roman"/>
          <w:b/>
          <w:color w:val="0000FF"/>
          <w:sz w:val="26"/>
          <w:szCs w:val="26"/>
          <w:u w:val="single"/>
        </w:rPr>
        <w:t>1</w:t>
      </w:r>
      <w:r w:rsidR="0010766E">
        <w:rPr>
          <w:rFonts w:ascii="Times New Roman" w:hAnsi="Times New Roman" w:cs="Times New Roman"/>
          <w:b/>
          <w:color w:val="0000FF"/>
          <w:sz w:val="26"/>
          <w:szCs w:val="26"/>
          <w:u w:val="single"/>
        </w:rPr>
        <w:t xml:space="preserve"> </w:t>
      </w:r>
      <w:r w:rsidR="00615917">
        <w:rPr>
          <w:rFonts w:ascii="Times New Roman" w:hAnsi="Times New Roman" w:cs="Times New Roman"/>
          <w:b/>
          <w:color w:val="0000FF"/>
          <w:sz w:val="26"/>
          <w:szCs w:val="26"/>
          <w:u w:val="single"/>
        </w:rPr>
        <w:t>quater</w:t>
      </w:r>
      <w:r w:rsidR="0010766E">
        <w:rPr>
          <w:rFonts w:ascii="Times New Roman" w:hAnsi="Times New Roman" w:cs="Times New Roman"/>
          <w:b/>
          <w:color w:val="0000FF"/>
          <w:sz w:val="26"/>
          <w:szCs w:val="26"/>
          <w:u w:val="single"/>
        </w:rPr>
        <w:t xml:space="preserve"> </w:t>
      </w:r>
      <w:proofErr w:type="spellStart"/>
      <w:r w:rsidR="00615917">
        <w:rPr>
          <w:rFonts w:ascii="Times New Roman" w:hAnsi="Times New Roman" w:cs="Times New Roman"/>
          <w:b/>
          <w:color w:val="0000FF"/>
          <w:sz w:val="26"/>
          <w:szCs w:val="26"/>
          <w:u w:val="single"/>
        </w:rPr>
        <w:t>decies</w:t>
      </w:r>
      <w:proofErr w:type="spellEnd"/>
      <w:r>
        <w:rPr>
          <w:rFonts w:ascii="Times New Roman" w:hAnsi="Times New Roman" w:cs="Times New Roman"/>
          <w:b/>
          <w:color w:val="0000FF"/>
          <w:sz w:val="26"/>
          <w:szCs w:val="26"/>
          <w:u w:val="single"/>
        </w:rPr>
        <w:t xml:space="preserve"> – AGGIUNTIVO</w:t>
      </w:r>
    </w:p>
    <w:p w14:paraId="0F5DF67D" w14:textId="77777777" w:rsidR="00A83260" w:rsidRDefault="00A83260" w:rsidP="00A83260">
      <w:pPr>
        <w:tabs>
          <w:tab w:val="left" w:pos="0"/>
        </w:tabs>
        <w:spacing w:after="0" w:line="360" w:lineRule="auto"/>
        <w:jc w:val="center"/>
        <w:rPr>
          <w:rFonts w:ascii="Times New Roman" w:hAnsi="Times New Roman" w:cs="Times New Roman"/>
          <w:sz w:val="26"/>
          <w:szCs w:val="26"/>
        </w:rPr>
      </w:pPr>
      <w:r>
        <w:rPr>
          <w:rFonts w:ascii="Times New Roman" w:hAnsi="Times New Roman" w:cs="Times New Roman"/>
          <w:b/>
          <w:color w:val="0000FF"/>
          <w:sz w:val="26"/>
          <w:szCs w:val="26"/>
          <w:u w:val="single"/>
        </w:rPr>
        <w:t>(Bonus cultura)</w:t>
      </w:r>
    </w:p>
    <w:p w14:paraId="22C5DB20" w14:textId="5AF5A1A9" w:rsidR="00A83260" w:rsidRPr="00143EB5" w:rsidRDefault="0010766E" w:rsidP="00A83260">
      <w:pPr>
        <w:pStyle w:val="Paragrafoelenco"/>
        <w:numPr>
          <w:ilvl w:val="0"/>
          <w:numId w:val="13"/>
        </w:numPr>
        <w:spacing w:after="0" w:line="360" w:lineRule="auto"/>
        <w:ind w:left="0" w:firstLine="0"/>
        <w:jc w:val="both"/>
        <w:rPr>
          <w:rFonts w:ascii="Times New Roman" w:eastAsia="Arial" w:hAnsi="Times New Roman" w:cs="Times New Roman"/>
          <w:sz w:val="26"/>
          <w:szCs w:val="26"/>
        </w:rPr>
      </w:pPr>
      <w:r>
        <w:rPr>
          <w:rFonts w:ascii="Times New Roman" w:eastAsia="Arial" w:hAnsi="Times New Roman" w:cs="Times New Roman"/>
          <w:sz w:val="26"/>
          <w:szCs w:val="26"/>
        </w:rPr>
        <w:lastRenderedPageBreak/>
        <w:t xml:space="preserve">Al fine di promuovere lo </w:t>
      </w:r>
      <w:r w:rsidR="00A83260" w:rsidRPr="00143EB5">
        <w:rPr>
          <w:rFonts w:ascii="Times New Roman" w:eastAsia="Arial" w:hAnsi="Times New Roman" w:cs="Times New Roman"/>
          <w:sz w:val="26"/>
          <w:szCs w:val="26"/>
        </w:rPr>
        <w:t xml:space="preserve">sviluppo </w:t>
      </w:r>
      <w:proofErr w:type="gramStart"/>
      <w:r w:rsidR="00A83260" w:rsidRPr="00143EB5">
        <w:rPr>
          <w:rFonts w:ascii="Times New Roman" w:eastAsia="Arial" w:hAnsi="Times New Roman" w:cs="Times New Roman"/>
          <w:sz w:val="26"/>
          <w:szCs w:val="26"/>
        </w:rPr>
        <w:t>della  cultura</w:t>
      </w:r>
      <w:proofErr w:type="gramEnd"/>
      <w:r w:rsidR="00A83260" w:rsidRPr="00143EB5">
        <w:rPr>
          <w:rFonts w:ascii="Times New Roman" w:eastAsia="Arial" w:hAnsi="Times New Roman" w:cs="Times New Roman"/>
          <w:sz w:val="26"/>
          <w:szCs w:val="26"/>
        </w:rPr>
        <w:t xml:space="preserve">  e  la conoscenza  del  patrimonio  culturale, nonché di generare crescita economica attraverso l’espansione del settore della cultura,  a  tutti  i  residenti  nella Repubblica di San Marino che compiono 18, 19 o 20 anni nel corso del 2023 è assegnata una speciale Card, nell’anno del compimento di tali età, con u</w:t>
      </w:r>
      <w:r w:rsidR="00A83260">
        <w:rPr>
          <w:rFonts w:ascii="Times New Roman" w:eastAsia="Arial" w:hAnsi="Times New Roman" w:cs="Times New Roman"/>
          <w:sz w:val="26"/>
          <w:szCs w:val="26"/>
        </w:rPr>
        <w:t xml:space="preserve">n bonus pari a 500€ ed </w:t>
      </w:r>
      <w:r w:rsidR="00A83260" w:rsidRPr="00143EB5">
        <w:rPr>
          <w:rFonts w:ascii="Times New Roman" w:eastAsia="Arial" w:hAnsi="Times New Roman" w:cs="Times New Roman"/>
          <w:sz w:val="26"/>
          <w:szCs w:val="26"/>
        </w:rPr>
        <w:t>utilizzabile per acquistare:</w:t>
      </w:r>
    </w:p>
    <w:p w14:paraId="1B741991" w14:textId="77777777" w:rsidR="00A83260" w:rsidRPr="00143EB5" w:rsidRDefault="00A83260" w:rsidP="00A83260">
      <w:pPr>
        <w:pStyle w:val="Paragrafoelenco"/>
        <w:numPr>
          <w:ilvl w:val="0"/>
          <w:numId w:val="14"/>
        </w:numPr>
        <w:spacing w:after="0" w:line="360" w:lineRule="auto"/>
        <w:ind w:left="284" w:firstLine="0"/>
        <w:jc w:val="both"/>
        <w:rPr>
          <w:rFonts w:ascii="Times New Roman" w:eastAsia="Arial" w:hAnsi="Times New Roman" w:cs="Times New Roman"/>
          <w:sz w:val="26"/>
          <w:szCs w:val="26"/>
        </w:rPr>
      </w:pPr>
      <w:r w:rsidRPr="00143EB5">
        <w:rPr>
          <w:rFonts w:ascii="Times New Roman" w:eastAsia="Arial" w:hAnsi="Times New Roman" w:cs="Times New Roman"/>
          <w:sz w:val="26"/>
          <w:szCs w:val="26"/>
        </w:rPr>
        <w:t>biglietti per rappresentazioni teatrali e cinematografiche;</w:t>
      </w:r>
    </w:p>
    <w:p w14:paraId="50059954" w14:textId="77777777" w:rsidR="00A83260" w:rsidRPr="00143EB5" w:rsidRDefault="00A83260" w:rsidP="00A83260">
      <w:pPr>
        <w:pStyle w:val="Paragrafoelenco"/>
        <w:numPr>
          <w:ilvl w:val="0"/>
          <w:numId w:val="14"/>
        </w:numPr>
        <w:spacing w:after="0" w:line="360" w:lineRule="auto"/>
        <w:ind w:left="284" w:firstLine="0"/>
        <w:jc w:val="both"/>
        <w:rPr>
          <w:rFonts w:ascii="Times New Roman" w:eastAsia="Arial" w:hAnsi="Times New Roman" w:cs="Times New Roman"/>
          <w:sz w:val="26"/>
          <w:szCs w:val="26"/>
        </w:rPr>
      </w:pPr>
      <w:r w:rsidRPr="00143EB5">
        <w:rPr>
          <w:rFonts w:ascii="Times New Roman" w:eastAsia="Arial" w:hAnsi="Times New Roman" w:cs="Times New Roman"/>
          <w:sz w:val="26"/>
          <w:szCs w:val="26"/>
        </w:rPr>
        <w:t>spettacoli dal vivo;</w:t>
      </w:r>
    </w:p>
    <w:p w14:paraId="01D81A90" w14:textId="77777777" w:rsidR="00A83260" w:rsidRPr="00143EB5" w:rsidRDefault="00A83260" w:rsidP="00A83260">
      <w:pPr>
        <w:pStyle w:val="Paragrafoelenco"/>
        <w:numPr>
          <w:ilvl w:val="0"/>
          <w:numId w:val="14"/>
        </w:numPr>
        <w:spacing w:after="0" w:line="360" w:lineRule="auto"/>
        <w:ind w:left="284" w:firstLine="0"/>
        <w:jc w:val="both"/>
        <w:rPr>
          <w:rFonts w:ascii="Times New Roman" w:eastAsia="Arial" w:hAnsi="Times New Roman" w:cs="Times New Roman"/>
          <w:sz w:val="26"/>
          <w:szCs w:val="26"/>
        </w:rPr>
      </w:pPr>
      <w:r w:rsidRPr="00143EB5">
        <w:rPr>
          <w:rFonts w:ascii="Times New Roman" w:eastAsia="Arial" w:hAnsi="Times New Roman" w:cs="Times New Roman"/>
          <w:sz w:val="26"/>
          <w:szCs w:val="26"/>
        </w:rPr>
        <w:t>libri;</w:t>
      </w:r>
    </w:p>
    <w:p w14:paraId="5A7FC121" w14:textId="77777777" w:rsidR="00A83260" w:rsidRPr="00143EB5" w:rsidRDefault="00A83260" w:rsidP="00A83260">
      <w:pPr>
        <w:pStyle w:val="Paragrafoelenco"/>
        <w:numPr>
          <w:ilvl w:val="0"/>
          <w:numId w:val="14"/>
        </w:numPr>
        <w:spacing w:after="0" w:line="360" w:lineRule="auto"/>
        <w:ind w:left="284" w:firstLine="0"/>
        <w:jc w:val="both"/>
        <w:rPr>
          <w:rFonts w:ascii="Times New Roman" w:eastAsia="Arial" w:hAnsi="Times New Roman" w:cs="Times New Roman"/>
          <w:sz w:val="26"/>
          <w:szCs w:val="26"/>
        </w:rPr>
      </w:pPr>
      <w:proofErr w:type="gramStart"/>
      <w:r w:rsidRPr="00143EB5">
        <w:rPr>
          <w:rFonts w:ascii="Times New Roman" w:eastAsia="Arial" w:hAnsi="Times New Roman" w:cs="Times New Roman"/>
          <w:sz w:val="26"/>
          <w:szCs w:val="26"/>
        </w:rPr>
        <w:t>abbonamenti</w:t>
      </w:r>
      <w:proofErr w:type="gramEnd"/>
      <w:r w:rsidRPr="00143EB5">
        <w:rPr>
          <w:rFonts w:ascii="Times New Roman" w:eastAsia="Arial" w:hAnsi="Times New Roman" w:cs="Times New Roman"/>
          <w:sz w:val="26"/>
          <w:szCs w:val="26"/>
        </w:rPr>
        <w:t xml:space="preserve"> a quotidiani sammarinesi anche in formato  digitale; </w:t>
      </w:r>
    </w:p>
    <w:p w14:paraId="7220FF61" w14:textId="77777777" w:rsidR="00A83260" w:rsidRPr="00143EB5" w:rsidRDefault="00A83260" w:rsidP="00A83260">
      <w:pPr>
        <w:pStyle w:val="Paragrafoelenco"/>
        <w:numPr>
          <w:ilvl w:val="0"/>
          <w:numId w:val="14"/>
        </w:numPr>
        <w:spacing w:after="0" w:line="360" w:lineRule="auto"/>
        <w:ind w:left="284" w:firstLine="0"/>
        <w:jc w:val="both"/>
        <w:rPr>
          <w:rFonts w:ascii="Times New Roman" w:eastAsia="Arial" w:hAnsi="Times New Roman" w:cs="Times New Roman"/>
          <w:sz w:val="26"/>
          <w:szCs w:val="26"/>
        </w:rPr>
      </w:pPr>
      <w:r w:rsidRPr="00143EB5">
        <w:rPr>
          <w:rFonts w:ascii="Times New Roman" w:eastAsia="Arial" w:hAnsi="Times New Roman" w:cs="Times New Roman"/>
          <w:sz w:val="26"/>
          <w:szCs w:val="26"/>
        </w:rPr>
        <w:t>musica registrata;</w:t>
      </w:r>
    </w:p>
    <w:p w14:paraId="76F22EC3" w14:textId="15852E94" w:rsidR="00A83260" w:rsidRPr="00143EB5" w:rsidRDefault="00A83260" w:rsidP="00A83260">
      <w:pPr>
        <w:pStyle w:val="Paragrafoelenco"/>
        <w:numPr>
          <w:ilvl w:val="0"/>
          <w:numId w:val="14"/>
        </w:numPr>
        <w:spacing w:after="0" w:line="360" w:lineRule="auto"/>
        <w:ind w:left="284" w:firstLine="0"/>
        <w:jc w:val="both"/>
        <w:rPr>
          <w:rFonts w:ascii="Times New Roman" w:eastAsia="Arial" w:hAnsi="Times New Roman" w:cs="Times New Roman"/>
          <w:sz w:val="26"/>
          <w:szCs w:val="26"/>
        </w:rPr>
      </w:pPr>
      <w:r w:rsidRPr="00143EB5">
        <w:rPr>
          <w:rFonts w:ascii="Times New Roman" w:eastAsia="Arial" w:hAnsi="Times New Roman" w:cs="Times New Roman"/>
          <w:sz w:val="26"/>
          <w:szCs w:val="26"/>
        </w:rPr>
        <w:t>prodotti dell'editoria audiovisiva</w:t>
      </w:r>
      <w:r w:rsidR="001115BE">
        <w:rPr>
          <w:rFonts w:ascii="Times New Roman" w:eastAsia="Arial" w:hAnsi="Times New Roman" w:cs="Times New Roman"/>
          <w:sz w:val="26"/>
          <w:szCs w:val="26"/>
        </w:rPr>
        <w:t>;</w:t>
      </w:r>
      <w:r w:rsidRPr="00143EB5">
        <w:rPr>
          <w:rFonts w:ascii="Times New Roman" w:eastAsia="Arial" w:hAnsi="Times New Roman" w:cs="Times New Roman"/>
          <w:sz w:val="26"/>
          <w:szCs w:val="26"/>
        </w:rPr>
        <w:t xml:space="preserve"> </w:t>
      </w:r>
    </w:p>
    <w:p w14:paraId="43F8D8DD" w14:textId="12924CAA" w:rsidR="00A83260" w:rsidRPr="00143EB5" w:rsidRDefault="00A83260" w:rsidP="00A83260">
      <w:pPr>
        <w:pStyle w:val="Paragrafoelenco"/>
        <w:numPr>
          <w:ilvl w:val="0"/>
          <w:numId w:val="14"/>
        </w:numPr>
        <w:spacing w:after="0" w:line="360" w:lineRule="auto"/>
        <w:ind w:left="284" w:firstLine="0"/>
        <w:jc w:val="both"/>
        <w:rPr>
          <w:rFonts w:ascii="Times New Roman" w:eastAsia="Arial" w:hAnsi="Times New Roman" w:cs="Times New Roman"/>
          <w:sz w:val="26"/>
          <w:szCs w:val="26"/>
        </w:rPr>
      </w:pPr>
      <w:r w:rsidRPr="00143EB5">
        <w:rPr>
          <w:rFonts w:ascii="Times New Roman" w:eastAsia="Arial" w:hAnsi="Times New Roman" w:cs="Times New Roman"/>
          <w:sz w:val="26"/>
          <w:szCs w:val="26"/>
        </w:rPr>
        <w:t>titoli di accesso a musei, mostre ed eventi culturali</w:t>
      </w:r>
      <w:r w:rsidR="001115BE">
        <w:rPr>
          <w:rFonts w:ascii="Times New Roman" w:eastAsia="Arial" w:hAnsi="Times New Roman" w:cs="Times New Roman"/>
          <w:sz w:val="26"/>
          <w:szCs w:val="26"/>
        </w:rPr>
        <w:t>;</w:t>
      </w:r>
    </w:p>
    <w:p w14:paraId="3CA47106" w14:textId="77777777" w:rsidR="00A83260" w:rsidRPr="00143EB5" w:rsidRDefault="00A83260" w:rsidP="00A83260">
      <w:pPr>
        <w:pStyle w:val="Paragrafoelenco"/>
        <w:numPr>
          <w:ilvl w:val="0"/>
          <w:numId w:val="14"/>
        </w:numPr>
        <w:spacing w:after="0" w:line="360" w:lineRule="auto"/>
        <w:ind w:left="284" w:firstLine="0"/>
        <w:jc w:val="both"/>
        <w:rPr>
          <w:rFonts w:ascii="Times New Roman" w:eastAsia="Arial" w:hAnsi="Times New Roman" w:cs="Times New Roman"/>
          <w:sz w:val="26"/>
          <w:szCs w:val="26"/>
        </w:rPr>
      </w:pPr>
      <w:r w:rsidRPr="00143EB5">
        <w:rPr>
          <w:rFonts w:ascii="Times New Roman" w:eastAsia="Arial" w:hAnsi="Times New Roman" w:cs="Times New Roman"/>
          <w:sz w:val="26"/>
          <w:szCs w:val="26"/>
        </w:rPr>
        <w:t>monumenti e assimilabili.</w:t>
      </w:r>
    </w:p>
    <w:p w14:paraId="0B90CBC0" w14:textId="77777777" w:rsidR="00A83260" w:rsidRPr="00143EB5" w:rsidRDefault="00A83260" w:rsidP="00A83260">
      <w:pPr>
        <w:pStyle w:val="Paragrafoelenco"/>
        <w:spacing w:after="0" w:line="360" w:lineRule="auto"/>
        <w:ind w:left="0"/>
        <w:jc w:val="both"/>
        <w:rPr>
          <w:rFonts w:ascii="Times New Roman" w:eastAsia="Arial" w:hAnsi="Times New Roman" w:cs="Times New Roman"/>
          <w:sz w:val="26"/>
          <w:szCs w:val="26"/>
        </w:rPr>
      </w:pPr>
      <w:proofErr w:type="spellStart"/>
      <w:r w:rsidRPr="00143EB5">
        <w:rPr>
          <w:rFonts w:ascii="Times New Roman" w:eastAsia="Arial" w:hAnsi="Times New Roman" w:cs="Times New Roman"/>
          <w:sz w:val="26"/>
          <w:szCs w:val="26"/>
        </w:rPr>
        <w:t>nonche</w:t>
      </w:r>
      <w:proofErr w:type="spellEnd"/>
      <w:r w:rsidRPr="00143EB5">
        <w:rPr>
          <w:rFonts w:ascii="Times New Roman" w:eastAsia="Arial" w:hAnsi="Times New Roman" w:cs="Times New Roman"/>
          <w:sz w:val="26"/>
          <w:szCs w:val="26"/>
        </w:rPr>
        <w:t xml:space="preserve">' per sostenere i costi relativi a corsi di musica, di teatro o di lingua straniera. </w:t>
      </w:r>
    </w:p>
    <w:p w14:paraId="4CE52CB0" w14:textId="2EDC1DA8" w:rsidR="00A83260" w:rsidRDefault="00A83260" w:rsidP="00A83260">
      <w:pPr>
        <w:pStyle w:val="Paragrafoelenco"/>
        <w:numPr>
          <w:ilvl w:val="0"/>
          <w:numId w:val="13"/>
        </w:numPr>
        <w:spacing w:after="0" w:line="360" w:lineRule="auto"/>
        <w:ind w:left="0" w:firstLine="0"/>
        <w:jc w:val="both"/>
        <w:rPr>
          <w:rFonts w:ascii="Times New Roman" w:eastAsia="Arial" w:hAnsi="Times New Roman" w:cs="Times New Roman"/>
          <w:sz w:val="26"/>
          <w:szCs w:val="26"/>
        </w:rPr>
      </w:pPr>
      <w:r w:rsidRPr="00143EB5">
        <w:rPr>
          <w:rFonts w:ascii="Times New Roman" w:eastAsia="Arial" w:hAnsi="Times New Roman" w:cs="Times New Roman"/>
          <w:sz w:val="26"/>
          <w:szCs w:val="26"/>
        </w:rPr>
        <w:t xml:space="preserve">Le somme assegnate ai sensi del comma 1 non costituiscono reddito imponibile del beneficiario. Con Decreto Delegato, da adottare entro </w:t>
      </w:r>
      <w:r w:rsidR="001115BE">
        <w:rPr>
          <w:rFonts w:ascii="Times New Roman" w:eastAsia="Arial" w:hAnsi="Times New Roman" w:cs="Times New Roman"/>
          <w:sz w:val="26"/>
          <w:szCs w:val="26"/>
        </w:rPr>
        <w:t>60</w:t>
      </w:r>
      <w:r w:rsidRPr="00143EB5">
        <w:rPr>
          <w:rFonts w:ascii="Times New Roman" w:eastAsia="Arial" w:hAnsi="Times New Roman" w:cs="Times New Roman"/>
          <w:sz w:val="26"/>
          <w:szCs w:val="26"/>
        </w:rPr>
        <w:t xml:space="preserve"> giorni dalla data di entrata in vigore della presente </w:t>
      </w:r>
      <w:r w:rsidR="001115BE">
        <w:rPr>
          <w:rFonts w:ascii="Times New Roman" w:eastAsia="Arial" w:hAnsi="Times New Roman" w:cs="Times New Roman"/>
          <w:sz w:val="26"/>
          <w:szCs w:val="26"/>
        </w:rPr>
        <w:t>L</w:t>
      </w:r>
      <w:r w:rsidRPr="00143EB5">
        <w:rPr>
          <w:rFonts w:ascii="Times New Roman" w:eastAsia="Arial" w:hAnsi="Times New Roman" w:cs="Times New Roman"/>
          <w:sz w:val="26"/>
          <w:szCs w:val="26"/>
        </w:rPr>
        <w:t>egge, sono definiti i criteri e le modalità di attribuzione e di utilizzo della Card.</w:t>
      </w:r>
    </w:p>
    <w:p w14:paraId="0EF02EA9" w14:textId="77777777" w:rsidR="00A83260" w:rsidRDefault="00A83260" w:rsidP="00A83260">
      <w:pPr>
        <w:pStyle w:val="Paragrafoelenco"/>
        <w:spacing w:after="0" w:line="360" w:lineRule="auto"/>
        <w:ind w:left="0"/>
        <w:jc w:val="both"/>
        <w:rPr>
          <w:rFonts w:ascii="Times New Roman" w:eastAsia="Arial" w:hAnsi="Times New Roman" w:cs="Times New Roman"/>
          <w:sz w:val="26"/>
          <w:szCs w:val="26"/>
        </w:rPr>
      </w:pPr>
    </w:p>
    <w:p w14:paraId="2F3AD141" w14:textId="6D3A0A71" w:rsidR="00A83260" w:rsidRPr="00B25AF7" w:rsidRDefault="00A83260" w:rsidP="00A83260">
      <w:pPr>
        <w:tabs>
          <w:tab w:val="left" w:pos="0"/>
        </w:tabs>
        <w:spacing w:after="0" w:line="360" w:lineRule="auto"/>
        <w:jc w:val="center"/>
        <w:rPr>
          <w:rFonts w:ascii="Times New Roman" w:hAnsi="Times New Roman" w:cs="Times New Roman"/>
          <w:b/>
          <w:color w:val="0000FF"/>
          <w:sz w:val="26"/>
          <w:szCs w:val="26"/>
          <w:u w:val="single"/>
        </w:rPr>
      </w:pPr>
      <w:r w:rsidRPr="00B25AF7">
        <w:rPr>
          <w:rFonts w:ascii="Times New Roman" w:hAnsi="Times New Roman" w:cs="Times New Roman"/>
          <w:b/>
          <w:color w:val="0000FF"/>
          <w:sz w:val="26"/>
          <w:szCs w:val="26"/>
          <w:u w:val="single"/>
        </w:rPr>
        <w:t xml:space="preserve">Articolo </w:t>
      </w:r>
      <w:r w:rsidR="00615917">
        <w:rPr>
          <w:rFonts w:ascii="Times New Roman" w:hAnsi="Times New Roman" w:cs="Times New Roman"/>
          <w:b/>
          <w:color w:val="0000FF"/>
          <w:sz w:val="26"/>
          <w:szCs w:val="26"/>
          <w:u w:val="single"/>
        </w:rPr>
        <w:t>1</w:t>
      </w:r>
      <w:r w:rsidR="0010766E">
        <w:rPr>
          <w:rFonts w:ascii="Times New Roman" w:hAnsi="Times New Roman" w:cs="Times New Roman"/>
          <w:b/>
          <w:color w:val="0000FF"/>
          <w:sz w:val="26"/>
          <w:szCs w:val="26"/>
          <w:u w:val="single"/>
        </w:rPr>
        <w:t xml:space="preserve"> </w:t>
      </w:r>
      <w:proofErr w:type="spellStart"/>
      <w:r w:rsidR="00615917">
        <w:rPr>
          <w:rFonts w:ascii="Times New Roman" w:hAnsi="Times New Roman" w:cs="Times New Roman"/>
          <w:b/>
          <w:color w:val="0000FF"/>
          <w:sz w:val="26"/>
          <w:szCs w:val="26"/>
          <w:u w:val="single"/>
        </w:rPr>
        <w:t>quindecies</w:t>
      </w:r>
      <w:proofErr w:type="spellEnd"/>
      <w:r w:rsidRPr="00B25AF7">
        <w:rPr>
          <w:rFonts w:ascii="Times New Roman" w:hAnsi="Times New Roman" w:cs="Times New Roman"/>
          <w:b/>
          <w:color w:val="0000FF"/>
          <w:sz w:val="26"/>
          <w:szCs w:val="26"/>
          <w:u w:val="single"/>
        </w:rPr>
        <w:t xml:space="preserve"> – AGGIUNTIVO</w:t>
      </w:r>
    </w:p>
    <w:p w14:paraId="7E7A6581" w14:textId="77777777" w:rsidR="00A83260" w:rsidRDefault="00A83260" w:rsidP="00A83260">
      <w:pPr>
        <w:tabs>
          <w:tab w:val="left" w:pos="0"/>
        </w:tabs>
        <w:spacing w:after="0" w:line="360" w:lineRule="auto"/>
        <w:jc w:val="center"/>
        <w:rPr>
          <w:rFonts w:ascii="Times New Roman" w:hAnsi="Times New Roman" w:cs="Times New Roman"/>
          <w:b/>
          <w:color w:val="0000FF"/>
          <w:sz w:val="26"/>
          <w:szCs w:val="26"/>
          <w:u w:val="single"/>
        </w:rPr>
      </w:pPr>
      <w:r w:rsidRPr="00B25AF7">
        <w:rPr>
          <w:rFonts w:ascii="Times New Roman" w:hAnsi="Times New Roman" w:cs="Times New Roman"/>
          <w:b/>
          <w:color w:val="0000FF"/>
          <w:sz w:val="26"/>
          <w:szCs w:val="26"/>
          <w:u w:val="single"/>
        </w:rPr>
        <w:t>(</w:t>
      </w:r>
      <w:r>
        <w:rPr>
          <w:rFonts w:ascii="Times New Roman" w:hAnsi="Times New Roman" w:cs="Times New Roman"/>
          <w:b/>
          <w:color w:val="0000FF"/>
          <w:sz w:val="26"/>
          <w:szCs w:val="26"/>
          <w:u w:val="single"/>
        </w:rPr>
        <w:t>Imposta di soggiorno</w:t>
      </w:r>
      <w:r w:rsidRPr="00B25AF7">
        <w:rPr>
          <w:rFonts w:ascii="Times New Roman" w:hAnsi="Times New Roman" w:cs="Times New Roman"/>
          <w:b/>
          <w:color w:val="0000FF"/>
          <w:sz w:val="26"/>
          <w:szCs w:val="26"/>
          <w:u w:val="single"/>
        </w:rPr>
        <w:t>)</w:t>
      </w:r>
    </w:p>
    <w:p w14:paraId="3894FD3A" w14:textId="272DEC00" w:rsidR="00A83260" w:rsidRPr="007310E5" w:rsidRDefault="00A83260" w:rsidP="00A83260">
      <w:pPr>
        <w:pStyle w:val="Paragrafoelenco"/>
        <w:numPr>
          <w:ilvl w:val="0"/>
          <w:numId w:val="17"/>
        </w:numPr>
        <w:tabs>
          <w:tab w:val="left" w:pos="0"/>
        </w:tabs>
        <w:spacing w:after="0" w:line="360" w:lineRule="auto"/>
        <w:ind w:left="0" w:firstLine="0"/>
        <w:jc w:val="both"/>
        <w:rPr>
          <w:rFonts w:ascii="Times New Roman" w:hAnsi="Times New Roman" w:cs="Times New Roman"/>
          <w:sz w:val="26"/>
          <w:szCs w:val="26"/>
        </w:rPr>
      </w:pPr>
      <w:r w:rsidRPr="007310E5">
        <w:rPr>
          <w:rFonts w:ascii="Times New Roman" w:hAnsi="Times New Roman" w:cs="Times New Roman"/>
          <w:sz w:val="26"/>
          <w:szCs w:val="26"/>
        </w:rPr>
        <w:t xml:space="preserve">L’imposta di soggiorno di cui all’articolo 42 della Legge n.207/2021 è incamerata sulla Rubrica 193, capitolo 135, in capo all’Ufficio del Turismo, </w:t>
      </w:r>
      <w:proofErr w:type="spellStart"/>
      <w:r w:rsidRPr="007310E5">
        <w:rPr>
          <w:rFonts w:ascii="Times New Roman" w:hAnsi="Times New Roman" w:cs="Times New Roman"/>
          <w:sz w:val="26"/>
          <w:szCs w:val="26"/>
        </w:rPr>
        <w:t>affinc</w:t>
      </w:r>
      <w:r w:rsidR="001115BE">
        <w:rPr>
          <w:rFonts w:ascii="Times New Roman" w:hAnsi="Times New Roman" w:cs="Times New Roman"/>
          <w:sz w:val="26"/>
          <w:szCs w:val="26"/>
        </w:rPr>
        <w:t>hè</w:t>
      </w:r>
      <w:proofErr w:type="spellEnd"/>
      <w:r w:rsidRPr="007310E5">
        <w:rPr>
          <w:rFonts w:ascii="Times New Roman" w:hAnsi="Times New Roman" w:cs="Times New Roman"/>
          <w:sz w:val="26"/>
          <w:szCs w:val="26"/>
        </w:rPr>
        <w:t xml:space="preserve"> possa essere utilizzata per le finalità legate allo sviluppo dei servizi turistici, alla messa in campo di interventi di sostegno alla riqualificazione delle strutture alberghiere ed alla realizzazione di infrastrutture per i servizi turistici. A tal fine, è abrogato quanto previsto dalla Legge n.94/2022 circa la destinazione di tali entrate alla Rubrica 103, sui capitoli dell’Ufficio Tributario.</w:t>
      </w:r>
    </w:p>
    <w:p w14:paraId="46C35B2F" w14:textId="77777777" w:rsidR="00A83260" w:rsidRDefault="00A83260" w:rsidP="00A83260">
      <w:pPr>
        <w:spacing w:after="0" w:line="360" w:lineRule="auto"/>
        <w:jc w:val="both"/>
        <w:rPr>
          <w:rFonts w:ascii="Times New Roman" w:eastAsia="Arial" w:hAnsi="Times New Roman" w:cs="Times New Roman"/>
          <w:sz w:val="26"/>
          <w:szCs w:val="26"/>
        </w:rPr>
      </w:pPr>
    </w:p>
    <w:p w14:paraId="4F8DEDFE" w14:textId="2B6217DC" w:rsidR="00A83260" w:rsidRPr="00B25AF7" w:rsidRDefault="00A83260" w:rsidP="00A83260">
      <w:pPr>
        <w:tabs>
          <w:tab w:val="left" w:pos="0"/>
        </w:tabs>
        <w:spacing w:after="0" w:line="360" w:lineRule="auto"/>
        <w:jc w:val="center"/>
        <w:rPr>
          <w:rFonts w:ascii="Times New Roman" w:hAnsi="Times New Roman" w:cs="Times New Roman"/>
          <w:b/>
          <w:color w:val="0000FF"/>
          <w:sz w:val="26"/>
          <w:szCs w:val="26"/>
          <w:u w:val="single"/>
        </w:rPr>
      </w:pPr>
      <w:r w:rsidRPr="00B25AF7">
        <w:rPr>
          <w:rFonts w:ascii="Times New Roman" w:hAnsi="Times New Roman" w:cs="Times New Roman"/>
          <w:b/>
          <w:color w:val="0000FF"/>
          <w:sz w:val="26"/>
          <w:szCs w:val="26"/>
          <w:u w:val="single"/>
        </w:rPr>
        <w:t xml:space="preserve">Articolo </w:t>
      </w:r>
      <w:r w:rsidR="00615917">
        <w:rPr>
          <w:rFonts w:ascii="Times New Roman" w:hAnsi="Times New Roman" w:cs="Times New Roman"/>
          <w:b/>
          <w:color w:val="0000FF"/>
          <w:sz w:val="26"/>
          <w:szCs w:val="26"/>
          <w:u w:val="single"/>
        </w:rPr>
        <w:t>1</w:t>
      </w:r>
      <w:r w:rsidR="0010766E">
        <w:rPr>
          <w:rFonts w:ascii="Times New Roman" w:hAnsi="Times New Roman" w:cs="Times New Roman"/>
          <w:b/>
          <w:color w:val="0000FF"/>
          <w:sz w:val="26"/>
          <w:szCs w:val="26"/>
          <w:u w:val="single"/>
        </w:rPr>
        <w:t xml:space="preserve"> </w:t>
      </w:r>
      <w:proofErr w:type="spellStart"/>
      <w:r w:rsidR="00615917">
        <w:rPr>
          <w:rFonts w:ascii="Times New Roman" w:hAnsi="Times New Roman" w:cs="Times New Roman"/>
          <w:b/>
          <w:color w:val="0000FF"/>
          <w:sz w:val="26"/>
          <w:szCs w:val="26"/>
          <w:u w:val="single"/>
        </w:rPr>
        <w:t>sedecies</w:t>
      </w:r>
      <w:proofErr w:type="spellEnd"/>
      <w:r w:rsidRPr="00B25AF7">
        <w:rPr>
          <w:rFonts w:ascii="Times New Roman" w:hAnsi="Times New Roman" w:cs="Times New Roman"/>
          <w:b/>
          <w:color w:val="0000FF"/>
          <w:sz w:val="26"/>
          <w:szCs w:val="26"/>
          <w:u w:val="single"/>
        </w:rPr>
        <w:t xml:space="preserve"> – AGGIUNTIVO</w:t>
      </w:r>
    </w:p>
    <w:p w14:paraId="12F013E6" w14:textId="77777777" w:rsidR="00A83260" w:rsidRDefault="00A83260" w:rsidP="00A83260">
      <w:pPr>
        <w:tabs>
          <w:tab w:val="left" w:pos="0"/>
        </w:tabs>
        <w:spacing w:after="0" w:line="360" w:lineRule="auto"/>
        <w:jc w:val="center"/>
        <w:rPr>
          <w:rFonts w:ascii="Times New Roman" w:hAnsi="Times New Roman" w:cs="Times New Roman"/>
          <w:b/>
          <w:color w:val="0000FF"/>
          <w:sz w:val="26"/>
          <w:szCs w:val="26"/>
          <w:u w:val="single"/>
        </w:rPr>
      </w:pPr>
      <w:r w:rsidRPr="00B25AF7">
        <w:rPr>
          <w:rFonts w:ascii="Times New Roman" w:hAnsi="Times New Roman" w:cs="Times New Roman"/>
          <w:b/>
          <w:color w:val="0000FF"/>
          <w:sz w:val="26"/>
          <w:szCs w:val="26"/>
          <w:u w:val="single"/>
        </w:rPr>
        <w:t>(</w:t>
      </w:r>
      <w:r>
        <w:rPr>
          <w:rFonts w:ascii="Times New Roman" w:hAnsi="Times New Roman" w:cs="Times New Roman"/>
          <w:b/>
          <w:color w:val="0000FF"/>
          <w:sz w:val="26"/>
          <w:szCs w:val="26"/>
          <w:u w:val="single"/>
        </w:rPr>
        <w:t>Piano per le telecomunicazioni</w:t>
      </w:r>
      <w:r w:rsidRPr="00B25AF7">
        <w:rPr>
          <w:rFonts w:ascii="Times New Roman" w:hAnsi="Times New Roman" w:cs="Times New Roman"/>
          <w:b/>
          <w:color w:val="0000FF"/>
          <w:sz w:val="26"/>
          <w:szCs w:val="26"/>
          <w:u w:val="single"/>
        </w:rPr>
        <w:t>)</w:t>
      </w:r>
    </w:p>
    <w:p w14:paraId="1F38243E" w14:textId="744D16D5" w:rsidR="00A83260" w:rsidRPr="00B25AF7" w:rsidRDefault="00A83260" w:rsidP="00A83260">
      <w:pPr>
        <w:spacing w:after="0" w:line="360" w:lineRule="auto"/>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Con l’obiettivo di migliorare i servizi di telecomunicazione all’interno della Repubblica di San Marino, con particolare riguardo al servizio mobile, nonché di favorire l’insediamento di nuovi operatori, l’aumento della concorrenza e l’ottenimento di un livello di entrate annuali </w:t>
      </w:r>
      <w:r>
        <w:rPr>
          <w:rFonts w:ascii="Times New Roman" w:eastAsia="Arial" w:hAnsi="Times New Roman" w:cs="Times New Roman"/>
          <w:sz w:val="26"/>
          <w:szCs w:val="26"/>
        </w:rPr>
        <w:lastRenderedPageBreak/>
        <w:t xml:space="preserve">dal settore in linea con quanto accade in altri piccoli Stati, è dato mandato al Segretario </w:t>
      </w:r>
      <w:r w:rsidR="001115BE">
        <w:rPr>
          <w:rFonts w:ascii="Times New Roman" w:eastAsia="Arial" w:hAnsi="Times New Roman" w:cs="Times New Roman"/>
          <w:sz w:val="26"/>
          <w:szCs w:val="26"/>
        </w:rPr>
        <w:t xml:space="preserve">di Stato </w:t>
      </w:r>
      <w:r>
        <w:rPr>
          <w:rFonts w:ascii="Times New Roman" w:eastAsia="Arial" w:hAnsi="Times New Roman" w:cs="Times New Roman"/>
          <w:sz w:val="26"/>
          <w:szCs w:val="26"/>
        </w:rPr>
        <w:t xml:space="preserve">con delega alle Telecomunicazioni di produrre alla Commissione </w:t>
      </w:r>
      <w:r w:rsidR="001115BE">
        <w:rPr>
          <w:rFonts w:ascii="Times New Roman" w:eastAsia="Arial" w:hAnsi="Times New Roman" w:cs="Times New Roman"/>
          <w:sz w:val="26"/>
          <w:szCs w:val="26"/>
        </w:rPr>
        <w:t>C</w:t>
      </w:r>
      <w:r>
        <w:rPr>
          <w:rFonts w:ascii="Times New Roman" w:eastAsia="Arial" w:hAnsi="Times New Roman" w:cs="Times New Roman"/>
          <w:sz w:val="26"/>
          <w:szCs w:val="26"/>
        </w:rPr>
        <w:t xml:space="preserve">onsiliare </w:t>
      </w:r>
      <w:r w:rsidRPr="009E1EE4">
        <w:rPr>
          <w:rFonts w:ascii="Times New Roman" w:eastAsia="Arial" w:hAnsi="Times New Roman" w:cs="Times New Roman"/>
          <w:sz w:val="26"/>
          <w:szCs w:val="26"/>
        </w:rPr>
        <w:t>Finanze bilancio e programmazione; artigianato; industria; commercio; turismo; servizi; trasporti e telecomunicazioni; lavoro e cooperazione;</w:t>
      </w:r>
      <w:r>
        <w:rPr>
          <w:rFonts w:ascii="Times New Roman" w:eastAsia="Arial" w:hAnsi="Times New Roman" w:cs="Times New Roman"/>
          <w:sz w:val="26"/>
          <w:szCs w:val="26"/>
        </w:rPr>
        <w:t xml:space="preserve"> entro 45 giorni dall’entrata in vigore della presente legge, un piano esecutivo di interventi e investimenti, indicando i possibili ritorni economici degli stessi e gli elementi di entrata previsti per l’erario.</w:t>
      </w:r>
    </w:p>
    <w:p w14:paraId="5B382AD5" w14:textId="77777777" w:rsidR="0010766E" w:rsidRDefault="0010766E" w:rsidP="0010766E">
      <w:pPr>
        <w:tabs>
          <w:tab w:val="left" w:pos="0"/>
        </w:tabs>
        <w:spacing w:after="0" w:line="360" w:lineRule="auto"/>
        <w:jc w:val="center"/>
        <w:rPr>
          <w:rFonts w:ascii="Times New Roman" w:hAnsi="Times New Roman" w:cs="Times New Roman"/>
          <w:b/>
          <w:color w:val="0000FF"/>
          <w:sz w:val="26"/>
          <w:szCs w:val="26"/>
          <w:u w:val="single"/>
        </w:rPr>
      </w:pPr>
    </w:p>
    <w:p w14:paraId="30F844F7" w14:textId="695635FD" w:rsidR="0010766E" w:rsidRDefault="0010766E" w:rsidP="0010766E">
      <w:pPr>
        <w:tabs>
          <w:tab w:val="left" w:pos="0"/>
        </w:tabs>
        <w:spacing w:after="0" w:line="360" w:lineRule="auto"/>
        <w:jc w:val="center"/>
        <w:rPr>
          <w:rFonts w:ascii="Arial" w:hAnsi="Arial" w:cs="Arial"/>
          <w:b/>
          <w:iCs/>
          <w:color w:val="0000FF"/>
          <w:sz w:val="32"/>
          <w:szCs w:val="32"/>
          <w:u w:val="single"/>
        </w:rPr>
      </w:pPr>
      <w:r>
        <w:rPr>
          <w:rFonts w:ascii="Times New Roman" w:hAnsi="Times New Roman" w:cs="Times New Roman"/>
          <w:b/>
          <w:color w:val="0000FF"/>
          <w:sz w:val="26"/>
          <w:szCs w:val="26"/>
          <w:u w:val="single"/>
        </w:rPr>
        <w:t>Articolo 1</w:t>
      </w:r>
      <w:r>
        <w:rPr>
          <w:rFonts w:ascii="Times New Roman" w:hAnsi="Times New Roman" w:cs="Times New Roman"/>
          <w:b/>
          <w:color w:val="0000FF"/>
          <w:sz w:val="26"/>
          <w:szCs w:val="26"/>
          <w:u w:val="single"/>
        </w:rPr>
        <w:t xml:space="preserve"> </w:t>
      </w:r>
      <w:proofErr w:type="spellStart"/>
      <w:r>
        <w:rPr>
          <w:rFonts w:ascii="Times New Roman" w:hAnsi="Times New Roman" w:cs="Times New Roman"/>
          <w:b/>
          <w:color w:val="0000FF"/>
          <w:sz w:val="26"/>
          <w:szCs w:val="26"/>
          <w:u w:val="single"/>
        </w:rPr>
        <w:t>septies</w:t>
      </w:r>
      <w:proofErr w:type="spellEnd"/>
      <w:r>
        <w:rPr>
          <w:rFonts w:ascii="Times New Roman" w:hAnsi="Times New Roman" w:cs="Times New Roman"/>
          <w:b/>
          <w:color w:val="0000FF"/>
          <w:sz w:val="26"/>
          <w:szCs w:val="26"/>
          <w:u w:val="single"/>
        </w:rPr>
        <w:t xml:space="preserve"> </w:t>
      </w:r>
      <w:proofErr w:type="spellStart"/>
      <w:r>
        <w:rPr>
          <w:rFonts w:ascii="Times New Roman" w:hAnsi="Times New Roman" w:cs="Times New Roman"/>
          <w:b/>
          <w:color w:val="0000FF"/>
          <w:sz w:val="26"/>
          <w:szCs w:val="26"/>
          <w:u w:val="single"/>
        </w:rPr>
        <w:t>decies</w:t>
      </w:r>
      <w:proofErr w:type="spellEnd"/>
      <w:r>
        <w:rPr>
          <w:rFonts w:ascii="Times New Roman" w:hAnsi="Times New Roman" w:cs="Times New Roman"/>
          <w:b/>
          <w:color w:val="0000FF"/>
          <w:sz w:val="26"/>
          <w:szCs w:val="26"/>
          <w:u w:val="single"/>
        </w:rPr>
        <w:t xml:space="preserve"> – AGGIUNTIVO </w:t>
      </w:r>
    </w:p>
    <w:p w14:paraId="3F7A8B20" w14:textId="77777777" w:rsidR="0010766E" w:rsidRDefault="0010766E" w:rsidP="0010766E">
      <w:pPr>
        <w:spacing w:after="0" w:line="360" w:lineRule="auto"/>
        <w:jc w:val="center"/>
        <w:rPr>
          <w:rFonts w:ascii="Times New Roman" w:hAnsi="Times New Roman" w:cs="Times New Roman"/>
          <w:b/>
          <w:iCs/>
          <w:color w:val="0000FF"/>
          <w:sz w:val="26"/>
          <w:szCs w:val="26"/>
          <w:u w:val="single"/>
        </w:rPr>
      </w:pPr>
      <w:r>
        <w:rPr>
          <w:rFonts w:ascii="Times New Roman" w:hAnsi="Times New Roman" w:cs="Times New Roman"/>
          <w:b/>
          <w:iCs/>
          <w:color w:val="0000FF"/>
          <w:sz w:val="26"/>
          <w:szCs w:val="26"/>
          <w:u w:val="single"/>
        </w:rPr>
        <w:t>(Lavoro prestato dagli amministratori)</w:t>
      </w:r>
    </w:p>
    <w:p w14:paraId="6DE109FB" w14:textId="77777777" w:rsidR="0010766E" w:rsidRPr="00CE5269" w:rsidRDefault="0010766E" w:rsidP="0010766E">
      <w:pPr>
        <w:pStyle w:val="Paragrafoelenco"/>
        <w:numPr>
          <w:ilvl w:val="0"/>
          <w:numId w:val="41"/>
        </w:numPr>
        <w:spacing w:after="0" w:line="360" w:lineRule="auto"/>
        <w:ind w:left="0" w:firstLine="0"/>
        <w:jc w:val="both"/>
        <w:rPr>
          <w:rFonts w:ascii="Times New Roman" w:hAnsi="Times New Roman" w:cs="Times New Roman"/>
          <w:iCs/>
          <w:sz w:val="26"/>
          <w:szCs w:val="26"/>
        </w:rPr>
      </w:pPr>
      <w:r w:rsidRPr="00CE5269">
        <w:rPr>
          <w:rFonts w:ascii="Times New Roman" w:hAnsi="Times New Roman" w:cs="Times New Roman"/>
          <w:iCs/>
          <w:sz w:val="26"/>
          <w:szCs w:val="26"/>
        </w:rPr>
        <w:t>L’articolo 27, comma 1, della Legge n.157/2022 è così modificato:</w:t>
      </w:r>
    </w:p>
    <w:p w14:paraId="23A54308" w14:textId="46ADD025" w:rsidR="0010766E" w:rsidRDefault="0010766E" w:rsidP="0010766E">
      <w:pPr>
        <w:spacing w:after="0" w:line="360" w:lineRule="auto"/>
        <w:jc w:val="both"/>
        <w:rPr>
          <w:rFonts w:ascii="Times New Roman" w:eastAsia="Arial" w:hAnsi="Times New Roman" w:cs="Times New Roman"/>
          <w:iCs/>
          <w:sz w:val="26"/>
          <w:szCs w:val="26"/>
        </w:rPr>
      </w:pPr>
      <w:r w:rsidRPr="00CE5269">
        <w:rPr>
          <w:rFonts w:ascii="Times New Roman" w:hAnsi="Times New Roman" w:cs="Times New Roman"/>
          <w:iCs/>
          <w:sz w:val="26"/>
          <w:szCs w:val="26"/>
        </w:rPr>
        <w:t>“1.</w:t>
      </w:r>
      <w:r w:rsidRPr="00CE5269">
        <w:rPr>
          <w:rFonts w:ascii="Georgia" w:hAnsi="Georgia"/>
          <w:color w:val="00000A"/>
        </w:rPr>
        <w:t xml:space="preserve"> </w:t>
      </w:r>
      <w:r w:rsidRPr="00CE5269">
        <w:rPr>
          <w:rFonts w:ascii="Times New Roman" w:hAnsi="Times New Roman" w:cs="Times New Roman"/>
          <w:iCs/>
          <w:sz w:val="26"/>
          <w:szCs w:val="26"/>
        </w:rPr>
        <w:t>L’Amministratore Operativo e il Socio prestatore di attività lavorativa in società di capitali,</w:t>
      </w:r>
      <w:r>
        <w:rPr>
          <w:rFonts w:ascii="Times New Roman" w:hAnsi="Times New Roman" w:cs="Times New Roman"/>
          <w:iCs/>
          <w:sz w:val="26"/>
          <w:szCs w:val="26"/>
        </w:rPr>
        <w:t xml:space="preserve"> </w:t>
      </w:r>
      <w:r w:rsidRPr="00CE5269">
        <w:rPr>
          <w:rFonts w:ascii="Times New Roman" w:hAnsi="Times New Roman" w:cs="Times New Roman"/>
          <w:iCs/>
          <w:sz w:val="26"/>
          <w:szCs w:val="26"/>
        </w:rPr>
        <w:t>di cui alla normativa sull’occupazione, sono tenuti ad effettuare versamenti</w:t>
      </w:r>
      <w:r>
        <w:rPr>
          <w:rFonts w:ascii="Times New Roman" w:hAnsi="Times New Roman" w:cs="Times New Roman"/>
          <w:iCs/>
          <w:sz w:val="26"/>
          <w:szCs w:val="26"/>
        </w:rPr>
        <w:t xml:space="preserve"> </w:t>
      </w:r>
      <w:r w:rsidRPr="00CE5269">
        <w:rPr>
          <w:rFonts w:ascii="Times New Roman" w:hAnsi="Times New Roman" w:cs="Times New Roman"/>
          <w:iCs/>
          <w:sz w:val="26"/>
          <w:szCs w:val="26"/>
        </w:rPr>
        <w:t>contributivi per un</w:t>
      </w:r>
      <w:r>
        <w:rPr>
          <w:rFonts w:ascii="Times New Roman" w:hAnsi="Times New Roman" w:cs="Times New Roman"/>
          <w:iCs/>
          <w:sz w:val="26"/>
          <w:szCs w:val="26"/>
        </w:rPr>
        <w:t xml:space="preserve"> importo pari al</w:t>
      </w:r>
      <w:r>
        <w:rPr>
          <w:rFonts w:ascii="Times New Roman" w:hAnsi="Times New Roman" w:cs="Times New Roman"/>
          <w:iCs/>
          <w:sz w:val="26"/>
          <w:szCs w:val="26"/>
        </w:rPr>
        <w:t xml:space="preserve"> </w:t>
      </w:r>
      <w:r w:rsidRPr="0010766E">
        <w:rPr>
          <w:rFonts w:ascii="Times New Roman" w:hAnsi="Times New Roman" w:cs="Times New Roman"/>
          <w:b/>
          <w:iCs/>
          <w:sz w:val="26"/>
          <w:szCs w:val="26"/>
        </w:rPr>
        <w:t>12,5%</w:t>
      </w:r>
      <w:r>
        <w:rPr>
          <w:rFonts w:ascii="Times New Roman" w:hAnsi="Times New Roman" w:cs="Times New Roman"/>
          <w:iCs/>
          <w:sz w:val="26"/>
          <w:szCs w:val="26"/>
        </w:rPr>
        <w:t xml:space="preserve"> </w:t>
      </w:r>
      <w:r w:rsidRPr="0010766E">
        <w:rPr>
          <w:rFonts w:ascii="Times New Roman" w:hAnsi="Times New Roman" w:cs="Times New Roman"/>
          <w:iCs/>
          <w:strike/>
          <w:sz w:val="26"/>
          <w:szCs w:val="26"/>
        </w:rPr>
        <w:t>24,50%</w:t>
      </w:r>
      <w:r>
        <w:rPr>
          <w:rFonts w:ascii="Times New Roman" w:hAnsi="Times New Roman" w:cs="Times New Roman"/>
          <w:iCs/>
          <w:sz w:val="26"/>
          <w:szCs w:val="26"/>
        </w:rPr>
        <w:t xml:space="preserve">, </w:t>
      </w:r>
      <w:r w:rsidRPr="00CE5269">
        <w:rPr>
          <w:rFonts w:ascii="Times New Roman" w:hAnsi="Times New Roman" w:cs="Times New Roman"/>
          <w:iCs/>
          <w:sz w:val="26"/>
          <w:szCs w:val="26"/>
        </w:rPr>
        <w:t>in base al disposto del precedente articolo 23. I</w:t>
      </w:r>
      <w:r>
        <w:rPr>
          <w:rFonts w:ascii="Times New Roman" w:hAnsi="Times New Roman" w:cs="Times New Roman"/>
          <w:iCs/>
          <w:sz w:val="26"/>
          <w:szCs w:val="26"/>
        </w:rPr>
        <w:t xml:space="preserve"> </w:t>
      </w:r>
      <w:r w:rsidRPr="00CE5269">
        <w:rPr>
          <w:rFonts w:ascii="Times New Roman" w:hAnsi="Times New Roman" w:cs="Times New Roman"/>
          <w:iCs/>
          <w:sz w:val="26"/>
          <w:szCs w:val="26"/>
        </w:rPr>
        <w:t>versamenti sono calcolati</w:t>
      </w:r>
      <w:r>
        <w:rPr>
          <w:rFonts w:ascii="Times New Roman" w:hAnsi="Times New Roman" w:cs="Times New Roman"/>
          <w:iCs/>
          <w:sz w:val="26"/>
          <w:szCs w:val="26"/>
        </w:rPr>
        <w:t xml:space="preserve"> </w:t>
      </w:r>
      <w:r w:rsidRPr="00CE5269">
        <w:rPr>
          <w:rFonts w:ascii="Times New Roman" w:hAnsi="Times New Roman" w:cs="Times New Roman"/>
          <w:iCs/>
          <w:sz w:val="26"/>
          <w:szCs w:val="26"/>
        </w:rPr>
        <w:t>sul compenso dichiarato e, se inferiore al reddito minimo previsto</w:t>
      </w:r>
      <w:r>
        <w:rPr>
          <w:rFonts w:ascii="Times New Roman" w:hAnsi="Times New Roman" w:cs="Times New Roman"/>
          <w:iCs/>
          <w:sz w:val="26"/>
          <w:szCs w:val="26"/>
        </w:rPr>
        <w:t xml:space="preserve"> </w:t>
      </w:r>
      <w:r w:rsidRPr="00CE5269">
        <w:rPr>
          <w:rFonts w:ascii="Times New Roman" w:hAnsi="Times New Roman" w:cs="Times New Roman"/>
          <w:iCs/>
          <w:sz w:val="26"/>
          <w:szCs w:val="26"/>
        </w:rPr>
        <w:t>per i lavoratori autonomi, su tale</w:t>
      </w:r>
      <w:r>
        <w:rPr>
          <w:rFonts w:ascii="Times New Roman" w:hAnsi="Times New Roman" w:cs="Times New Roman"/>
          <w:iCs/>
          <w:sz w:val="26"/>
          <w:szCs w:val="26"/>
        </w:rPr>
        <w:t xml:space="preserve"> </w:t>
      </w:r>
      <w:r w:rsidRPr="00CE5269">
        <w:rPr>
          <w:rFonts w:ascii="Times New Roman" w:hAnsi="Times New Roman" w:cs="Times New Roman"/>
          <w:iCs/>
          <w:sz w:val="26"/>
          <w:szCs w:val="26"/>
        </w:rPr>
        <w:t>minimo, come stabilito dall’articolo 5 della Legge 5 ottobre 2011 n.158.</w:t>
      </w:r>
    </w:p>
    <w:p w14:paraId="352E8B29" w14:textId="77777777" w:rsidR="0010766E" w:rsidRPr="0010766E" w:rsidRDefault="0010766E" w:rsidP="0010766E">
      <w:pPr>
        <w:numPr>
          <w:ilvl w:val="0"/>
          <w:numId w:val="41"/>
        </w:numPr>
        <w:spacing w:after="0" w:line="360" w:lineRule="auto"/>
        <w:ind w:left="0" w:firstLine="0"/>
        <w:jc w:val="both"/>
        <w:rPr>
          <w:rFonts w:ascii="Times New Roman" w:eastAsia="Arial" w:hAnsi="Times New Roman" w:cs="Times New Roman"/>
          <w:iCs/>
          <w:sz w:val="26"/>
          <w:szCs w:val="26"/>
        </w:rPr>
      </w:pPr>
      <w:r w:rsidRPr="0010766E">
        <w:rPr>
          <w:rFonts w:ascii="Times New Roman" w:eastAsia="Arial" w:hAnsi="Times New Roman" w:cs="Times New Roman"/>
          <w:iCs/>
          <w:sz w:val="26"/>
          <w:szCs w:val="26"/>
        </w:rPr>
        <w:t>L’articolo 27, comma 7, della legge n.164/2022 è così modificato:</w:t>
      </w:r>
    </w:p>
    <w:p w14:paraId="559D7737" w14:textId="2DC61876" w:rsidR="0010766E" w:rsidRPr="0010766E" w:rsidRDefault="0010766E" w:rsidP="0010766E">
      <w:pPr>
        <w:spacing w:after="0" w:line="360" w:lineRule="auto"/>
        <w:jc w:val="both"/>
        <w:rPr>
          <w:rFonts w:ascii="Times New Roman" w:eastAsia="Arial" w:hAnsi="Times New Roman" w:cs="Times New Roman"/>
          <w:iCs/>
          <w:sz w:val="26"/>
          <w:szCs w:val="26"/>
        </w:rPr>
      </w:pPr>
      <w:r w:rsidRPr="0010766E">
        <w:rPr>
          <w:rFonts w:ascii="Times New Roman" w:eastAsia="Arial" w:hAnsi="Times New Roman" w:cs="Times New Roman"/>
          <w:iCs/>
          <w:sz w:val="26"/>
          <w:szCs w:val="26"/>
        </w:rPr>
        <w:t>“7. Gli amministratori che sono nelle condizioni per poter instaurare un rapporto di lavoro</w:t>
      </w:r>
      <w:r w:rsidRPr="0010766E">
        <w:rPr>
          <w:rFonts w:ascii="Times New Roman" w:eastAsia="Arial" w:hAnsi="Times New Roman" w:cs="Times New Roman"/>
          <w:iCs/>
          <w:sz w:val="26"/>
          <w:szCs w:val="26"/>
        </w:rPr>
        <w:br/>
        <w:t>possono essere regolarmente assunti con contratto di lavoro subordinato</w:t>
      </w:r>
      <w:r>
        <w:rPr>
          <w:rFonts w:ascii="Times New Roman" w:eastAsia="Arial" w:hAnsi="Times New Roman" w:cs="Times New Roman"/>
          <w:iCs/>
          <w:sz w:val="26"/>
          <w:szCs w:val="26"/>
        </w:rPr>
        <w:t xml:space="preserve"> </w:t>
      </w:r>
      <w:r w:rsidRPr="00CE5269">
        <w:rPr>
          <w:rFonts w:ascii="Times New Roman" w:hAnsi="Times New Roman" w:cs="Times New Roman"/>
          <w:b/>
          <w:iCs/>
          <w:sz w:val="26"/>
          <w:szCs w:val="26"/>
        </w:rPr>
        <w:t>a partire dal secondo livello retributivo previsto dal Contratto Collettivo di settore di riferimento</w:t>
      </w:r>
      <w:r w:rsidRPr="0010766E">
        <w:rPr>
          <w:rFonts w:ascii="Times New Roman" w:eastAsia="Arial" w:hAnsi="Times New Roman" w:cs="Times New Roman"/>
          <w:iCs/>
          <w:sz w:val="26"/>
          <w:szCs w:val="26"/>
        </w:rPr>
        <w:t xml:space="preserve"> </w:t>
      </w:r>
      <w:r w:rsidRPr="0010766E">
        <w:rPr>
          <w:rFonts w:ascii="Times New Roman" w:eastAsia="Arial" w:hAnsi="Times New Roman" w:cs="Times New Roman"/>
          <w:iCs/>
          <w:strike/>
          <w:sz w:val="26"/>
          <w:szCs w:val="26"/>
        </w:rPr>
        <w:t>al livello minimo previsto per le mansioni dirigenziali previste dal Contratto Collettivo di settore di riferimento</w:t>
      </w:r>
      <w:r w:rsidRPr="0010766E">
        <w:rPr>
          <w:rFonts w:ascii="Times New Roman" w:eastAsia="Arial" w:hAnsi="Times New Roman" w:cs="Times New Roman"/>
          <w:iCs/>
          <w:sz w:val="26"/>
          <w:szCs w:val="26"/>
        </w:rPr>
        <w:t xml:space="preserve"> e con obbligo di assunzione a tempo pieno, a meno che non abbiano già un’altra posizione contributiva attiva come lavoratore subordinato a tempo parziale.”.</w:t>
      </w:r>
    </w:p>
    <w:p w14:paraId="47D30F27" w14:textId="77777777" w:rsidR="00A83260" w:rsidRDefault="00A83260" w:rsidP="00A83260">
      <w:pPr>
        <w:spacing w:after="0" w:line="360" w:lineRule="auto"/>
        <w:jc w:val="both"/>
        <w:rPr>
          <w:rFonts w:ascii="Times New Roman" w:eastAsia="Arial" w:hAnsi="Times New Roman" w:cs="Times New Roman"/>
          <w:b/>
          <w:color w:val="FF3636"/>
          <w:sz w:val="40"/>
          <w:szCs w:val="40"/>
          <w:u w:val="single"/>
        </w:rPr>
      </w:pPr>
    </w:p>
    <w:p w14:paraId="65ACCB18" w14:textId="77777777" w:rsidR="0010766E" w:rsidRDefault="0010766E" w:rsidP="00A83260">
      <w:pPr>
        <w:spacing w:after="0" w:line="360" w:lineRule="auto"/>
        <w:jc w:val="both"/>
        <w:rPr>
          <w:rFonts w:ascii="Times New Roman" w:eastAsia="Arial" w:hAnsi="Times New Roman" w:cs="Times New Roman"/>
          <w:b/>
          <w:color w:val="FF3636"/>
          <w:sz w:val="40"/>
          <w:szCs w:val="40"/>
          <w:u w:val="single"/>
        </w:rPr>
      </w:pPr>
    </w:p>
    <w:p w14:paraId="06F92097" w14:textId="07923A13" w:rsidR="00295633" w:rsidRDefault="00295633" w:rsidP="00295633">
      <w:pPr>
        <w:tabs>
          <w:tab w:val="left" w:pos="0"/>
        </w:tabs>
        <w:spacing w:after="0" w:line="360" w:lineRule="auto"/>
        <w:jc w:val="center"/>
        <w:rPr>
          <w:rFonts w:ascii="Arial" w:hAnsi="Arial" w:cs="Arial"/>
          <w:b/>
          <w:iCs/>
          <w:color w:val="0000FF"/>
          <w:sz w:val="32"/>
          <w:szCs w:val="32"/>
          <w:u w:val="single"/>
        </w:rPr>
      </w:pPr>
      <w:r>
        <w:rPr>
          <w:rFonts w:ascii="Times New Roman" w:hAnsi="Times New Roman" w:cs="Times New Roman"/>
          <w:b/>
          <w:color w:val="0000FF"/>
          <w:sz w:val="26"/>
          <w:szCs w:val="26"/>
          <w:u w:val="single"/>
        </w:rPr>
        <w:t xml:space="preserve">Articolo </w:t>
      </w:r>
      <w:r w:rsidR="0010766E">
        <w:rPr>
          <w:rFonts w:ascii="Times New Roman" w:hAnsi="Times New Roman" w:cs="Times New Roman"/>
          <w:b/>
          <w:color w:val="0000FF"/>
          <w:sz w:val="26"/>
          <w:szCs w:val="26"/>
          <w:u w:val="single"/>
        </w:rPr>
        <w:t xml:space="preserve">1 </w:t>
      </w:r>
      <w:proofErr w:type="spellStart"/>
      <w:r w:rsidR="0010766E">
        <w:rPr>
          <w:rFonts w:ascii="Times New Roman" w:hAnsi="Times New Roman" w:cs="Times New Roman"/>
          <w:b/>
          <w:color w:val="0000FF"/>
          <w:sz w:val="26"/>
          <w:szCs w:val="26"/>
          <w:u w:val="single"/>
        </w:rPr>
        <w:t>septies</w:t>
      </w:r>
      <w:proofErr w:type="spellEnd"/>
      <w:r w:rsidR="0010766E">
        <w:rPr>
          <w:rFonts w:ascii="Times New Roman" w:hAnsi="Times New Roman" w:cs="Times New Roman"/>
          <w:b/>
          <w:color w:val="0000FF"/>
          <w:sz w:val="26"/>
          <w:szCs w:val="26"/>
          <w:u w:val="single"/>
        </w:rPr>
        <w:t xml:space="preserve"> </w:t>
      </w:r>
      <w:proofErr w:type="spellStart"/>
      <w:r w:rsidR="0010766E">
        <w:rPr>
          <w:rFonts w:ascii="Times New Roman" w:hAnsi="Times New Roman" w:cs="Times New Roman"/>
          <w:b/>
          <w:color w:val="0000FF"/>
          <w:sz w:val="26"/>
          <w:szCs w:val="26"/>
          <w:u w:val="single"/>
        </w:rPr>
        <w:t>decies</w:t>
      </w:r>
      <w:proofErr w:type="spellEnd"/>
      <w:r>
        <w:rPr>
          <w:rFonts w:ascii="Times New Roman" w:hAnsi="Times New Roman" w:cs="Times New Roman"/>
          <w:b/>
          <w:color w:val="0000FF"/>
          <w:sz w:val="26"/>
          <w:szCs w:val="26"/>
          <w:u w:val="single"/>
        </w:rPr>
        <w:t xml:space="preserve"> – AGGIUNTIVO</w:t>
      </w:r>
      <w:r w:rsidR="0010766E">
        <w:rPr>
          <w:rFonts w:ascii="Times New Roman" w:hAnsi="Times New Roman" w:cs="Times New Roman"/>
          <w:b/>
          <w:color w:val="0000FF"/>
          <w:sz w:val="26"/>
          <w:szCs w:val="26"/>
          <w:u w:val="single"/>
        </w:rPr>
        <w:t xml:space="preserve"> </w:t>
      </w:r>
      <w:r w:rsidR="0010766E" w:rsidRPr="0010766E">
        <w:rPr>
          <w:rFonts w:ascii="Times New Roman" w:hAnsi="Times New Roman" w:cs="Times New Roman"/>
          <w:b/>
          <w:color w:val="0000FF"/>
          <w:sz w:val="26"/>
          <w:szCs w:val="26"/>
          <w:highlight w:val="yellow"/>
          <w:u w:val="single"/>
        </w:rPr>
        <w:t>IN SUBORDINE</w:t>
      </w:r>
      <w:r w:rsidRPr="00BE4481">
        <w:rPr>
          <w:rFonts w:ascii="Arial" w:hAnsi="Arial" w:cs="Arial"/>
          <w:b/>
          <w:iCs/>
          <w:color w:val="0000FF"/>
          <w:sz w:val="32"/>
          <w:szCs w:val="32"/>
          <w:u w:val="single"/>
        </w:rPr>
        <w:t xml:space="preserve"> </w:t>
      </w:r>
    </w:p>
    <w:p w14:paraId="1E63F708" w14:textId="77777777" w:rsidR="00295633" w:rsidRDefault="00295633" w:rsidP="00295633">
      <w:pPr>
        <w:spacing w:after="0" w:line="360" w:lineRule="auto"/>
        <w:jc w:val="center"/>
        <w:rPr>
          <w:rFonts w:ascii="Times New Roman" w:hAnsi="Times New Roman" w:cs="Times New Roman"/>
          <w:b/>
          <w:iCs/>
          <w:color w:val="0000FF"/>
          <w:sz w:val="26"/>
          <w:szCs w:val="26"/>
          <w:u w:val="single"/>
        </w:rPr>
      </w:pPr>
      <w:r>
        <w:rPr>
          <w:rFonts w:ascii="Times New Roman" w:hAnsi="Times New Roman" w:cs="Times New Roman"/>
          <w:b/>
          <w:iCs/>
          <w:color w:val="0000FF"/>
          <w:sz w:val="26"/>
          <w:szCs w:val="26"/>
          <w:u w:val="single"/>
        </w:rPr>
        <w:t>(Lavoro prestato dagli amministratori)</w:t>
      </w:r>
    </w:p>
    <w:p w14:paraId="740408AC" w14:textId="77777777" w:rsidR="00295633" w:rsidRPr="00CE5269" w:rsidRDefault="00CE5269" w:rsidP="0010766E">
      <w:pPr>
        <w:pStyle w:val="Paragrafoelenco"/>
        <w:numPr>
          <w:ilvl w:val="0"/>
          <w:numId w:val="41"/>
        </w:numPr>
        <w:spacing w:after="0" w:line="360" w:lineRule="auto"/>
        <w:jc w:val="both"/>
        <w:rPr>
          <w:rFonts w:ascii="Times New Roman" w:hAnsi="Times New Roman" w:cs="Times New Roman"/>
          <w:iCs/>
          <w:sz w:val="26"/>
          <w:szCs w:val="26"/>
        </w:rPr>
      </w:pPr>
      <w:r w:rsidRPr="00CE5269">
        <w:rPr>
          <w:rFonts w:ascii="Times New Roman" w:hAnsi="Times New Roman" w:cs="Times New Roman"/>
          <w:iCs/>
          <w:sz w:val="26"/>
          <w:szCs w:val="26"/>
        </w:rPr>
        <w:t>L’articolo 27, comma 1, della Legge n.157/2022 è così modificato:</w:t>
      </w:r>
    </w:p>
    <w:p w14:paraId="59CDB0A2" w14:textId="77777777" w:rsidR="00CE5269" w:rsidRPr="00CE5269" w:rsidRDefault="00CE5269" w:rsidP="00CE5269">
      <w:pPr>
        <w:spacing w:after="0" w:line="360" w:lineRule="auto"/>
        <w:jc w:val="both"/>
        <w:rPr>
          <w:rFonts w:ascii="Times New Roman" w:hAnsi="Times New Roman" w:cs="Times New Roman"/>
          <w:iCs/>
          <w:sz w:val="26"/>
          <w:szCs w:val="26"/>
        </w:rPr>
      </w:pPr>
      <w:r w:rsidRPr="00CE5269">
        <w:rPr>
          <w:rFonts w:ascii="Times New Roman" w:hAnsi="Times New Roman" w:cs="Times New Roman"/>
          <w:iCs/>
          <w:sz w:val="26"/>
          <w:szCs w:val="26"/>
        </w:rPr>
        <w:t>“1.</w:t>
      </w:r>
      <w:r w:rsidRPr="00CE5269">
        <w:rPr>
          <w:rFonts w:ascii="Georgia" w:hAnsi="Georgia"/>
          <w:color w:val="00000A"/>
        </w:rPr>
        <w:t xml:space="preserve"> </w:t>
      </w:r>
      <w:r w:rsidRPr="00CE5269">
        <w:rPr>
          <w:rFonts w:ascii="Times New Roman" w:hAnsi="Times New Roman" w:cs="Times New Roman"/>
          <w:iCs/>
          <w:sz w:val="26"/>
          <w:szCs w:val="26"/>
        </w:rPr>
        <w:t>L’Amministratore Operativo e il Socio prestatore di attività lavorativa in società di capitali,</w:t>
      </w:r>
      <w:r>
        <w:rPr>
          <w:rFonts w:ascii="Times New Roman" w:hAnsi="Times New Roman" w:cs="Times New Roman"/>
          <w:iCs/>
          <w:sz w:val="26"/>
          <w:szCs w:val="26"/>
        </w:rPr>
        <w:t xml:space="preserve"> </w:t>
      </w:r>
      <w:r w:rsidRPr="00CE5269">
        <w:rPr>
          <w:rFonts w:ascii="Times New Roman" w:hAnsi="Times New Roman" w:cs="Times New Roman"/>
          <w:iCs/>
          <w:sz w:val="26"/>
          <w:szCs w:val="26"/>
        </w:rPr>
        <w:t>di cui alla normativa sull’occupazione, sono tenuti ad effettuare versamenti</w:t>
      </w:r>
      <w:r>
        <w:rPr>
          <w:rFonts w:ascii="Times New Roman" w:hAnsi="Times New Roman" w:cs="Times New Roman"/>
          <w:iCs/>
          <w:sz w:val="26"/>
          <w:szCs w:val="26"/>
        </w:rPr>
        <w:t xml:space="preserve"> </w:t>
      </w:r>
      <w:r w:rsidRPr="00CE5269">
        <w:rPr>
          <w:rFonts w:ascii="Times New Roman" w:hAnsi="Times New Roman" w:cs="Times New Roman"/>
          <w:iCs/>
          <w:sz w:val="26"/>
          <w:szCs w:val="26"/>
        </w:rPr>
        <w:t>contributivi per un</w:t>
      </w:r>
      <w:r>
        <w:rPr>
          <w:rFonts w:ascii="Times New Roman" w:hAnsi="Times New Roman" w:cs="Times New Roman"/>
          <w:iCs/>
          <w:sz w:val="26"/>
          <w:szCs w:val="26"/>
        </w:rPr>
        <w:t xml:space="preserve"> importo pari al 24,50%, </w:t>
      </w:r>
      <w:r w:rsidRPr="00CE5269">
        <w:rPr>
          <w:rFonts w:ascii="Times New Roman" w:hAnsi="Times New Roman" w:cs="Times New Roman"/>
          <w:iCs/>
          <w:sz w:val="26"/>
          <w:szCs w:val="26"/>
        </w:rPr>
        <w:t>in base al disposto del precedente articolo 23. I</w:t>
      </w:r>
      <w:r>
        <w:rPr>
          <w:rFonts w:ascii="Times New Roman" w:hAnsi="Times New Roman" w:cs="Times New Roman"/>
          <w:iCs/>
          <w:sz w:val="26"/>
          <w:szCs w:val="26"/>
        </w:rPr>
        <w:t xml:space="preserve"> </w:t>
      </w:r>
      <w:r w:rsidRPr="00CE5269">
        <w:rPr>
          <w:rFonts w:ascii="Times New Roman" w:hAnsi="Times New Roman" w:cs="Times New Roman"/>
          <w:iCs/>
          <w:sz w:val="26"/>
          <w:szCs w:val="26"/>
        </w:rPr>
        <w:t>versamenti sono calcolati</w:t>
      </w:r>
      <w:r>
        <w:rPr>
          <w:rFonts w:ascii="Times New Roman" w:hAnsi="Times New Roman" w:cs="Times New Roman"/>
          <w:iCs/>
          <w:sz w:val="26"/>
          <w:szCs w:val="26"/>
        </w:rPr>
        <w:t xml:space="preserve"> </w:t>
      </w:r>
      <w:r w:rsidRPr="00CE5269">
        <w:rPr>
          <w:rFonts w:ascii="Times New Roman" w:hAnsi="Times New Roman" w:cs="Times New Roman"/>
          <w:iCs/>
          <w:sz w:val="26"/>
          <w:szCs w:val="26"/>
        </w:rPr>
        <w:t>sul compenso dichiarato e, se inferiore al reddito minimo previsto</w:t>
      </w:r>
      <w:r>
        <w:rPr>
          <w:rFonts w:ascii="Times New Roman" w:hAnsi="Times New Roman" w:cs="Times New Roman"/>
          <w:iCs/>
          <w:sz w:val="26"/>
          <w:szCs w:val="26"/>
        </w:rPr>
        <w:t xml:space="preserve"> </w:t>
      </w:r>
      <w:r w:rsidRPr="00CE5269">
        <w:rPr>
          <w:rFonts w:ascii="Times New Roman" w:hAnsi="Times New Roman" w:cs="Times New Roman"/>
          <w:iCs/>
          <w:sz w:val="26"/>
          <w:szCs w:val="26"/>
        </w:rPr>
        <w:lastRenderedPageBreak/>
        <w:t>per i lavoratori autonomi, su tale</w:t>
      </w:r>
      <w:r>
        <w:rPr>
          <w:rFonts w:ascii="Times New Roman" w:hAnsi="Times New Roman" w:cs="Times New Roman"/>
          <w:iCs/>
          <w:sz w:val="26"/>
          <w:szCs w:val="26"/>
        </w:rPr>
        <w:t xml:space="preserve"> </w:t>
      </w:r>
      <w:r w:rsidRPr="00CE5269">
        <w:rPr>
          <w:rFonts w:ascii="Times New Roman" w:hAnsi="Times New Roman" w:cs="Times New Roman"/>
          <w:iCs/>
          <w:sz w:val="26"/>
          <w:szCs w:val="26"/>
        </w:rPr>
        <w:t>minimo, come stabilito dall’articolo 5 della Legge 5 ottobre 2011 n.158.</w:t>
      </w:r>
      <w:r>
        <w:rPr>
          <w:rFonts w:ascii="Times New Roman" w:hAnsi="Times New Roman" w:cs="Times New Roman"/>
          <w:iCs/>
          <w:sz w:val="26"/>
          <w:szCs w:val="26"/>
        </w:rPr>
        <w:t xml:space="preserve"> </w:t>
      </w:r>
      <w:r w:rsidRPr="00CE5269">
        <w:rPr>
          <w:rFonts w:ascii="Times New Roman" w:hAnsi="Times New Roman" w:cs="Times New Roman"/>
          <w:b/>
          <w:iCs/>
          <w:sz w:val="26"/>
          <w:szCs w:val="26"/>
        </w:rPr>
        <w:t xml:space="preserve">L’aliquota </w:t>
      </w:r>
      <w:r>
        <w:rPr>
          <w:rFonts w:ascii="Times New Roman" w:hAnsi="Times New Roman" w:cs="Times New Roman"/>
          <w:b/>
          <w:iCs/>
          <w:sz w:val="26"/>
          <w:szCs w:val="26"/>
        </w:rPr>
        <w:t xml:space="preserve">contributiva </w:t>
      </w:r>
      <w:r w:rsidRPr="00CE5269">
        <w:rPr>
          <w:rFonts w:ascii="Times New Roman" w:hAnsi="Times New Roman" w:cs="Times New Roman"/>
          <w:b/>
          <w:iCs/>
          <w:sz w:val="26"/>
          <w:szCs w:val="26"/>
        </w:rPr>
        <w:t>è dimezzata per i primi 5 anni di attività della società di capitali.</w:t>
      </w:r>
      <w:r>
        <w:rPr>
          <w:rFonts w:ascii="Times New Roman" w:hAnsi="Times New Roman" w:cs="Times New Roman"/>
          <w:b/>
          <w:iCs/>
          <w:sz w:val="26"/>
          <w:szCs w:val="26"/>
        </w:rPr>
        <w:t>”</w:t>
      </w:r>
    </w:p>
    <w:p w14:paraId="42FE2452" w14:textId="77777777" w:rsidR="00CE5269" w:rsidRDefault="00CE5269" w:rsidP="0010766E">
      <w:pPr>
        <w:pStyle w:val="Paragrafoelenco"/>
        <w:numPr>
          <w:ilvl w:val="0"/>
          <w:numId w:val="41"/>
        </w:numPr>
        <w:spacing w:after="0" w:line="360" w:lineRule="auto"/>
        <w:jc w:val="both"/>
        <w:rPr>
          <w:rFonts w:ascii="Times New Roman" w:hAnsi="Times New Roman" w:cs="Times New Roman"/>
          <w:iCs/>
          <w:sz w:val="26"/>
          <w:szCs w:val="26"/>
        </w:rPr>
      </w:pPr>
      <w:r w:rsidRPr="00CE5269">
        <w:rPr>
          <w:rFonts w:ascii="Times New Roman" w:hAnsi="Times New Roman" w:cs="Times New Roman"/>
          <w:iCs/>
          <w:sz w:val="26"/>
          <w:szCs w:val="26"/>
        </w:rPr>
        <w:t xml:space="preserve">L’articolo 27, comma 7, </w:t>
      </w:r>
      <w:r>
        <w:rPr>
          <w:rFonts w:ascii="Times New Roman" w:hAnsi="Times New Roman" w:cs="Times New Roman"/>
          <w:iCs/>
          <w:sz w:val="26"/>
          <w:szCs w:val="26"/>
        </w:rPr>
        <w:t>della legge n.164/2022 è così modificato:</w:t>
      </w:r>
    </w:p>
    <w:p w14:paraId="2AC44617" w14:textId="77777777" w:rsidR="00CE5269" w:rsidRDefault="00CE5269" w:rsidP="00CE5269">
      <w:pPr>
        <w:pStyle w:val="Paragrafoelenco"/>
        <w:spacing w:after="0" w:line="360" w:lineRule="auto"/>
        <w:ind w:left="0"/>
        <w:jc w:val="both"/>
        <w:rPr>
          <w:rFonts w:ascii="Times New Roman" w:hAnsi="Times New Roman" w:cs="Times New Roman"/>
          <w:iCs/>
          <w:sz w:val="26"/>
          <w:szCs w:val="26"/>
        </w:rPr>
      </w:pPr>
      <w:r>
        <w:rPr>
          <w:rFonts w:ascii="Times New Roman" w:hAnsi="Times New Roman" w:cs="Times New Roman"/>
          <w:iCs/>
          <w:sz w:val="26"/>
          <w:szCs w:val="26"/>
        </w:rPr>
        <w:t xml:space="preserve">“7. </w:t>
      </w:r>
      <w:r w:rsidRPr="00CE5269">
        <w:rPr>
          <w:rFonts w:ascii="Times New Roman" w:hAnsi="Times New Roman" w:cs="Times New Roman"/>
          <w:iCs/>
          <w:sz w:val="26"/>
          <w:szCs w:val="26"/>
        </w:rPr>
        <w:t>Gli amministratori che sono nelle condizioni per poter instaurare un rapporto di lavoro</w:t>
      </w:r>
      <w:r w:rsidRPr="00CE5269">
        <w:rPr>
          <w:rFonts w:ascii="Times New Roman" w:hAnsi="Times New Roman" w:cs="Times New Roman"/>
          <w:iCs/>
          <w:sz w:val="26"/>
          <w:szCs w:val="26"/>
        </w:rPr>
        <w:br/>
        <w:t>possono essere regolarmente assunti con contratto di lavoro subordinato al livello minimo previsto</w:t>
      </w:r>
      <w:r>
        <w:rPr>
          <w:rFonts w:ascii="Times New Roman" w:hAnsi="Times New Roman" w:cs="Times New Roman"/>
          <w:iCs/>
          <w:sz w:val="26"/>
          <w:szCs w:val="26"/>
        </w:rPr>
        <w:t xml:space="preserve"> </w:t>
      </w:r>
      <w:r w:rsidRPr="00CE5269">
        <w:rPr>
          <w:rFonts w:ascii="Times New Roman" w:hAnsi="Times New Roman" w:cs="Times New Roman"/>
          <w:iCs/>
          <w:sz w:val="26"/>
          <w:szCs w:val="26"/>
        </w:rPr>
        <w:t>per le mansioni dirigenziali previste dal Contratto Collettivo di settore di riferimento e con obbligo</w:t>
      </w:r>
      <w:r>
        <w:rPr>
          <w:rFonts w:ascii="Times New Roman" w:hAnsi="Times New Roman" w:cs="Times New Roman"/>
          <w:iCs/>
          <w:sz w:val="26"/>
          <w:szCs w:val="26"/>
        </w:rPr>
        <w:t xml:space="preserve"> </w:t>
      </w:r>
      <w:r w:rsidRPr="00CE5269">
        <w:rPr>
          <w:rFonts w:ascii="Times New Roman" w:hAnsi="Times New Roman" w:cs="Times New Roman"/>
          <w:iCs/>
          <w:sz w:val="26"/>
          <w:szCs w:val="26"/>
        </w:rPr>
        <w:t>di assunzione a tempo pieno, a meno che non abbiano già un’altra posizione</w:t>
      </w:r>
      <w:r>
        <w:rPr>
          <w:rFonts w:ascii="Times New Roman" w:hAnsi="Times New Roman" w:cs="Times New Roman"/>
          <w:iCs/>
          <w:sz w:val="26"/>
          <w:szCs w:val="26"/>
        </w:rPr>
        <w:t xml:space="preserve"> </w:t>
      </w:r>
      <w:r w:rsidRPr="00CE5269">
        <w:rPr>
          <w:rFonts w:ascii="Times New Roman" w:hAnsi="Times New Roman" w:cs="Times New Roman"/>
          <w:iCs/>
          <w:sz w:val="26"/>
          <w:szCs w:val="26"/>
        </w:rPr>
        <w:t>contributiva attiva come</w:t>
      </w:r>
      <w:r>
        <w:rPr>
          <w:rFonts w:ascii="Times New Roman" w:hAnsi="Times New Roman" w:cs="Times New Roman"/>
          <w:iCs/>
          <w:sz w:val="26"/>
          <w:szCs w:val="26"/>
        </w:rPr>
        <w:t xml:space="preserve"> </w:t>
      </w:r>
      <w:r w:rsidRPr="00CE5269">
        <w:rPr>
          <w:rFonts w:ascii="Times New Roman" w:hAnsi="Times New Roman" w:cs="Times New Roman"/>
          <w:iCs/>
          <w:sz w:val="26"/>
          <w:szCs w:val="26"/>
        </w:rPr>
        <w:t>lavoratore subordinato a tempo parziale.</w:t>
      </w:r>
      <w:r>
        <w:rPr>
          <w:rFonts w:ascii="Times New Roman" w:hAnsi="Times New Roman" w:cs="Times New Roman"/>
          <w:iCs/>
          <w:sz w:val="26"/>
          <w:szCs w:val="26"/>
        </w:rPr>
        <w:t xml:space="preserve"> </w:t>
      </w:r>
      <w:r w:rsidRPr="00CE5269">
        <w:rPr>
          <w:rFonts w:ascii="Times New Roman" w:hAnsi="Times New Roman" w:cs="Times New Roman"/>
          <w:b/>
          <w:iCs/>
          <w:sz w:val="26"/>
          <w:szCs w:val="26"/>
        </w:rPr>
        <w:t>Per i primi 5 anni di attività delle società di capitali, l’assunzione può avvenire a partire dal secondo livello retributivo previsto dal Contratto Collettivo di settore di riferimento, sempre con obbligo di assunzione a tempo pieno.</w:t>
      </w:r>
      <w:r>
        <w:rPr>
          <w:rFonts w:ascii="Times New Roman" w:hAnsi="Times New Roman" w:cs="Times New Roman"/>
          <w:iCs/>
          <w:sz w:val="26"/>
          <w:szCs w:val="26"/>
        </w:rPr>
        <w:t>”.</w:t>
      </w:r>
    </w:p>
    <w:p w14:paraId="46C1B433" w14:textId="77777777" w:rsidR="00CE5269" w:rsidRPr="00CE5269" w:rsidRDefault="00CE5269" w:rsidP="0010766E">
      <w:pPr>
        <w:pStyle w:val="Paragrafoelenco"/>
        <w:numPr>
          <w:ilvl w:val="0"/>
          <w:numId w:val="41"/>
        </w:numPr>
        <w:spacing w:after="0" w:line="360" w:lineRule="auto"/>
        <w:ind w:left="0" w:firstLine="0"/>
        <w:jc w:val="both"/>
        <w:rPr>
          <w:rFonts w:ascii="Times New Roman" w:hAnsi="Times New Roman" w:cs="Times New Roman"/>
          <w:b/>
          <w:iCs/>
          <w:sz w:val="26"/>
          <w:szCs w:val="26"/>
        </w:rPr>
      </w:pPr>
      <w:r w:rsidRPr="00CE5269">
        <w:rPr>
          <w:rFonts w:ascii="Times New Roman" w:hAnsi="Times New Roman" w:cs="Times New Roman"/>
          <w:b/>
          <w:iCs/>
          <w:sz w:val="26"/>
          <w:szCs w:val="26"/>
        </w:rPr>
        <w:t>L’applicazione di quanto disposto dall’articolo 27 comma 1 della Legge n.157/2022 e dall’articolo 27, comma 7, della legge n.164/2022, per le società già esistenti al momento dell’entrata in vigore di tali norme di legge, è differito di 3 anni.</w:t>
      </w:r>
    </w:p>
    <w:p w14:paraId="102AEC2F" w14:textId="77777777" w:rsidR="00CE5269" w:rsidRPr="00CE5269" w:rsidRDefault="00CE5269" w:rsidP="00CE5269">
      <w:pPr>
        <w:spacing w:after="0" w:line="360" w:lineRule="auto"/>
        <w:jc w:val="both"/>
        <w:rPr>
          <w:rFonts w:ascii="Times New Roman" w:eastAsia="Arial" w:hAnsi="Times New Roman" w:cs="Times New Roman"/>
          <w:sz w:val="40"/>
          <w:szCs w:val="40"/>
        </w:rPr>
      </w:pPr>
    </w:p>
    <w:p w14:paraId="59B390E1" w14:textId="77777777" w:rsidR="00A83260" w:rsidRPr="00BE4481" w:rsidRDefault="00A83260" w:rsidP="00A83260">
      <w:pPr>
        <w:spacing w:after="0" w:line="360" w:lineRule="auto"/>
        <w:jc w:val="center"/>
        <w:rPr>
          <w:rFonts w:ascii="Times New Roman" w:hAnsi="Times New Roman" w:cs="Times New Roman"/>
          <w:sz w:val="40"/>
          <w:szCs w:val="40"/>
        </w:rPr>
      </w:pPr>
      <w:r w:rsidRPr="00BE4481">
        <w:rPr>
          <w:rFonts w:ascii="Times New Roman" w:eastAsia="Arial" w:hAnsi="Times New Roman" w:cs="Times New Roman"/>
          <w:b/>
          <w:color w:val="FF3636"/>
          <w:sz w:val="40"/>
          <w:szCs w:val="40"/>
          <w:u w:val="single"/>
        </w:rPr>
        <w:t>TEM</w:t>
      </w:r>
      <w:r>
        <w:rPr>
          <w:rFonts w:ascii="Times New Roman" w:eastAsia="Arial" w:hAnsi="Times New Roman" w:cs="Times New Roman"/>
          <w:b/>
          <w:color w:val="FF3636"/>
          <w:sz w:val="40"/>
          <w:szCs w:val="40"/>
          <w:u w:val="single"/>
        </w:rPr>
        <w:t>A SANITA’</w:t>
      </w:r>
    </w:p>
    <w:p w14:paraId="58C9DE5B" w14:textId="6716DA46" w:rsidR="00A83260" w:rsidRDefault="0010766E" w:rsidP="00A83260">
      <w:pPr>
        <w:pStyle w:val="Paragrafoelenco"/>
        <w:tabs>
          <w:tab w:val="left" w:pos="0"/>
        </w:tabs>
        <w:spacing w:after="0" w:line="360" w:lineRule="auto"/>
        <w:ind w:left="0"/>
        <w:jc w:val="center"/>
        <w:rPr>
          <w:rFonts w:ascii="Times New Roman" w:hAnsi="Times New Roman" w:cs="Times New Roman"/>
          <w:b/>
          <w:color w:val="0000FF"/>
          <w:sz w:val="26"/>
          <w:szCs w:val="26"/>
          <w:u w:val="single"/>
        </w:rPr>
      </w:pPr>
      <w:r>
        <w:rPr>
          <w:rFonts w:ascii="Times New Roman" w:hAnsi="Times New Roman" w:cs="Times New Roman"/>
          <w:b/>
          <w:color w:val="0000FF"/>
          <w:sz w:val="26"/>
          <w:szCs w:val="26"/>
          <w:u w:val="single"/>
        </w:rPr>
        <w:t xml:space="preserve">Articolo 1 </w:t>
      </w:r>
      <w:proofErr w:type="spellStart"/>
      <w:r>
        <w:rPr>
          <w:rFonts w:ascii="Times New Roman" w:hAnsi="Times New Roman" w:cs="Times New Roman"/>
          <w:b/>
          <w:color w:val="0000FF"/>
          <w:sz w:val="26"/>
          <w:szCs w:val="26"/>
          <w:u w:val="single"/>
        </w:rPr>
        <w:t>octies</w:t>
      </w:r>
      <w:proofErr w:type="spellEnd"/>
      <w:r>
        <w:rPr>
          <w:rFonts w:ascii="Times New Roman" w:hAnsi="Times New Roman" w:cs="Times New Roman"/>
          <w:b/>
          <w:color w:val="0000FF"/>
          <w:sz w:val="26"/>
          <w:szCs w:val="26"/>
          <w:u w:val="single"/>
        </w:rPr>
        <w:t xml:space="preserve"> </w:t>
      </w:r>
      <w:proofErr w:type="spellStart"/>
      <w:r>
        <w:rPr>
          <w:rFonts w:ascii="Times New Roman" w:hAnsi="Times New Roman" w:cs="Times New Roman"/>
          <w:b/>
          <w:color w:val="0000FF"/>
          <w:sz w:val="26"/>
          <w:szCs w:val="26"/>
          <w:u w:val="single"/>
        </w:rPr>
        <w:t>decies</w:t>
      </w:r>
      <w:proofErr w:type="spellEnd"/>
      <w:r w:rsidR="00A83260">
        <w:rPr>
          <w:rFonts w:ascii="Times New Roman" w:hAnsi="Times New Roman" w:cs="Times New Roman"/>
          <w:b/>
          <w:color w:val="0000FF"/>
          <w:sz w:val="26"/>
          <w:szCs w:val="26"/>
          <w:u w:val="single"/>
        </w:rPr>
        <w:t xml:space="preserve"> – AGGIUNTIVO</w:t>
      </w:r>
    </w:p>
    <w:p w14:paraId="536421FF" w14:textId="77777777" w:rsidR="00A83260" w:rsidRDefault="00A83260" w:rsidP="00A83260">
      <w:pPr>
        <w:tabs>
          <w:tab w:val="left" w:pos="0"/>
        </w:tabs>
        <w:spacing w:after="0" w:line="360" w:lineRule="auto"/>
        <w:jc w:val="center"/>
        <w:rPr>
          <w:rFonts w:ascii="Times New Roman" w:hAnsi="Times New Roman" w:cs="Times New Roman"/>
          <w:sz w:val="26"/>
          <w:szCs w:val="26"/>
        </w:rPr>
      </w:pPr>
      <w:r>
        <w:rPr>
          <w:rFonts w:ascii="Times New Roman" w:hAnsi="Times New Roman" w:cs="Times New Roman"/>
          <w:b/>
          <w:color w:val="0000FF"/>
          <w:sz w:val="26"/>
          <w:szCs w:val="26"/>
          <w:u w:val="single"/>
        </w:rPr>
        <w:t>(Formazioni di personale medico)</w:t>
      </w:r>
    </w:p>
    <w:p w14:paraId="437924C7" w14:textId="2C5D98F2" w:rsidR="00A83260" w:rsidRPr="00BF3063" w:rsidRDefault="00A83260" w:rsidP="00A83260">
      <w:pPr>
        <w:pStyle w:val="Paragrafoelenco"/>
        <w:numPr>
          <w:ilvl w:val="0"/>
          <w:numId w:val="25"/>
        </w:numPr>
        <w:spacing w:after="0" w:line="360" w:lineRule="auto"/>
        <w:ind w:left="0" w:firstLine="0"/>
        <w:jc w:val="both"/>
        <w:rPr>
          <w:rFonts w:ascii="Times New Roman" w:eastAsia="Arial" w:hAnsi="Times New Roman" w:cs="Times New Roman"/>
          <w:sz w:val="26"/>
          <w:szCs w:val="26"/>
        </w:rPr>
      </w:pPr>
      <w:r w:rsidRPr="00BF3063">
        <w:rPr>
          <w:rFonts w:ascii="Times New Roman" w:eastAsia="Arial" w:hAnsi="Times New Roman" w:cs="Times New Roman"/>
          <w:sz w:val="26"/>
          <w:szCs w:val="26"/>
        </w:rPr>
        <w:t xml:space="preserve">È dato mandato al </w:t>
      </w:r>
      <w:r w:rsidR="000F3B0B">
        <w:rPr>
          <w:rFonts w:ascii="Times New Roman" w:eastAsia="Arial" w:hAnsi="Times New Roman" w:cs="Times New Roman"/>
          <w:sz w:val="26"/>
          <w:szCs w:val="26"/>
        </w:rPr>
        <w:t>C</w:t>
      </w:r>
      <w:r w:rsidRPr="00BF3063">
        <w:rPr>
          <w:rFonts w:ascii="Times New Roman" w:eastAsia="Arial" w:hAnsi="Times New Roman" w:cs="Times New Roman"/>
          <w:sz w:val="26"/>
          <w:szCs w:val="26"/>
        </w:rPr>
        <w:t xml:space="preserve">ongresso di Stato, nell’ambito della cooperazione bilaterale con la Repubblica </w:t>
      </w:r>
      <w:r w:rsidR="000F3B0B">
        <w:rPr>
          <w:rFonts w:ascii="Times New Roman" w:eastAsia="Arial" w:hAnsi="Times New Roman" w:cs="Times New Roman"/>
          <w:sz w:val="26"/>
          <w:szCs w:val="26"/>
        </w:rPr>
        <w:t>i</w:t>
      </w:r>
      <w:r w:rsidRPr="00BF3063">
        <w:rPr>
          <w:rFonts w:ascii="Times New Roman" w:eastAsia="Arial" w:hAnsi="Times New Roman" w:cs="Times New Roman"/>
          <w:sz w:val="26"/>
          <w:szCs w:val="26"/>
        </w:rPr>
        <w:t xml:space="preserve">taliana di stipulare apposito accordo per riservare a studenti sammarinesi </w:t>
      </w:r>
      <w:r>
        <w:rPr>
          <w:rFonts w:ascii="Times New Roman" w:eastAsia="Arial" w:hAnsi="Times New Roman" w:cs="Times New Roman"/>
          <w:sz w:val="26"/>
          <w:szCs w:val="26"/>
        </w:rPr>
        <w:t>un minimo di n.7</w:t>
      </w:r>
      <w:r w:rsidRPr="00BF3063">
        <w:rPr>
          <w:rFonts w:ascii="Times New Roman" w:eastAsia="Arial" w:hAnsi="Times New Roman" w:cs="Times New Roman"/>
          <w:sz w:val="26"/>
          <w:szCs w:val="26"/>
        </w:rPr>
        <w:t xml:space="preserve"> posti </w:t>
      </w:r>
      <w:r>
        <w:rPr>
          <w:rFonts w:ascii="Times New Roman" w:eastAsia="Arial" w:hAnsi="Times New Roman" w:cs="Times New Roman"/>
          <w:sz w:val="26"/>
          <w:szCs w:val="26"/>
        </w:rPr>
        <w:t xml:space="preserve">all’anno </w:t>
      </w:r>
      <w:r w:rsidRPr="00BF3063">
        <w:rPr>
          <w:rFonts w:ascii="Times New Roman" w:eastAsia="Arial" w:hAnsi="Times New Roman" w:cs="Times New Roman"/>
          <w:sz w:val="26"/>
          <w:szCs w:val="26"/>
        </w:rPr>
        <w:t>presso le facoltà di medicina della Repubblica italiana</w:t>
      </w:r>
      <w:r>
        <w:rPr>
          <w:rFonts w:ascii="Times New Roman" w:eastAsia="Arial" w:hAnsi="Times New Roman" w:cs="Times New Roman"/>
          <w:sz w:val="26"/>
          <w:szCs w:val="26"/>
        </w:rPr>
        <w:t>.</w:t>
      </w:r>
    </w:p>
    <w:p w14:paraId="1984CAC6" w14:textId="77777777" w:rsidR="00A83260" w:rsidRDefault="00A83260" w:rsidP="00A83260">
      <w:pPr>
        <w:pStyle w:val="Paragrafoelenco"/>
        <w:tabs>
          <w:tab w:val="left" w:pos="0"/>
        </w:tabs>
        <w:spacing w:after="0" w:line="360" w:lineRule="auto"/>
        <w:ind w:left="0"/>
        <w:jc w:val="center"/>
        <w:rPr>
          <w:rFonts w:ascii="Times New Roman" w:hAnsi="Times New Roman" w:cs="Times New Roman"/>
          <w:b/>
          <w:color w:val="0000FF"/>
          <w:sz w:val="26"/>
          <w:szCs w:val="26"/>
          <w:u w:val="single"/>
        </w:rPr>
      </w:pPr>
    </w:p>
    <w:p w14:paraId="1663D7A9" w14:textId="14532BFF" w:rsidR="00A83260" w:rsidRDefault="00A83260" w:rsidP="00A83260">
      <w:pPr>
        <w:pStyle w:val="Paragrafoelenco"/>
        <w:tabs>
          <w:tab w:val="left" w:pos="0"/>
        </w:tabs>
        <w:spacing w:after="0" w:line="360" w:lineRule="auto"/>
        <w:ind w:left="0"/>
        <w:jc w:val="center"/>
        <w:rPr>
          <w:rFonts w:ascii="Times New Roman" w:hAnsi="Times New Roman" w:cs="Times New Roman"/>
          <w:b/>
          <w:color w:val="0000FF"/>
          <w:sz w:val="26"/>
          <w:szCs w:val="26"/>
          <w:u w:val="single"/>
        </w:rPr>
      </w:pPr>
      <w:r>
        <w:rPr>
          <w:rFonts w:ascii="Times New Roman" w:hAnsi="Times New Roman" w:cs="Times New Roman"/>
          <w:b/>
          <w:color w:val="0000FF"/>
          <w:sz w:val="26"/>
          <w:szCs w:val="26"/>
          <w:u w:val="single"/>
        </w:rPr>
        <w:t>Articolo</w:t>
      </w:r>
      <w:r w:rsidR="0010766E">
        <w:rPr>
          <w:rFonts w:ascii="Times New Roman" w:hAnsi="Times New Roman" w:cs="Times New Roman"/>
          <w:b/>
          <w:color w:val="0000FF"/>
          <w:sz w:val="26"/>
          <w:szCs w:val="26"/>
          <w:u w:val="single"/>
        </w:rPr>
        <w:t xml:space="preserve"> 1 </w:t>
      </w:r>
      <w:proofErr w:type="spellStart"/>
      <w:r w:rsidR="0010766E">
        <w:rPr>
          <w:rFonts w:ascii="Times New Roman" w:hAnsi="Times New Roman" w:cs="Times New Roman"/>
          <w:b/>
          <w:color w:val="0000FF"/>
          <w:sz w:val="26"/>
          <w:szCs w:val="26"/>
          <w:u w:val="single"/>
        </w:rPr>
        <w:t>novies</w:t>
      </w:r>
      <w:proofErr w:type="spellEnd"/>
      <w:r w:rsidR="0010766E">
        <w:rPr>
          <w:rFonts w:ascii="Times New Roman" w:hAnsi="Times New Roman" w:cs="Times New Roman"/>
          <w:b/>
          <w:color w:val="0000FF"/>
          <w:sz w:val="26"/>
          <w:szCs w:val="26"/>
          <w:u w:val="single"/>
        </w:rPr>
        <w:t xml:space="preserve"> </w:t>
      </w:r>
      <w:proofErr w:type="spellStart"/>
      <w:r w:rsidR="0010766E">
        <w:rPr>
          <w:rFonts w:ascii="Times New Roman" w:hAnsi="Times New Roman" w:cs="Times New Roman"/>
          <w:b/>
          <w:color w:val="0000FF"/>
          <w:sz w:val="26"/>
          <w:szCs w:val="26"/>
          <w:u w:val="single"/>
        </w:rPr>
        <w:t>decies</w:t>
      </w:r>
      <w:proofErr w:type="spellEnd"/>
      <w:r>
        <w:rPr>
          <w:rFonts w:ascii="Times New Roman" w:hAnsi="Times New Roman" w:cs="Times New Roman"/>
          <w:b/>
          <w:color w:val="0000FF"/>
          <w:sz w:val="26"/>
          <w:szCs w:val="26"/>
          <w:u w:val="single"/>
        </w:rPr>
        <w:t xml:space="preserve"> – AGGIUNTIVO</w:t>
      </w:r>
    </w:p>
    <w:p w14:paraId="0F553E0C" w14:textId="77777777" w:rsidR="00A83260" w:rsidRDefault="00A83260" w:rsidP="00A83260">
      <w:pPr>
        <w:tabs>
          <w:tab w:val="left" w:pos="0"/>
        </w:tabs>
        <w:spacing w:after="0" w:line="360" w:lineRule="auto"/>
        <w:jc w:val="center"/>
        <w:rPr>
          <w:rFonts w:ascii="Times New Roman" w:hAnsi="Times New Roman" w:cs="Times New Roman"/>
          <w:b/>
          <w:color w:val="0000FF"/>
          <w:sz w:val="26"/>
          <w:szCs w:val="26"/>
          <w:u w:val="single"/>
        </w:rPr>
      </w:pPr>
      <w:r>
        <w:rPr>
          <w:rFonts w:ascii="Times New Roman" w:hAnsi="Times New Roman" w:cs="Times New Roman"/>
          <w:b/>
          <w:color w:val="0000FF"/>
          <w:sz w:val="26"/>
          <w:szCs w:val="26"/>
          <w:u w:val="single"/>
        </w:rPr>
        <w:t>(Abolizione della Centrale Operativa Territoriale)</w:t>
      </w:r>
    </w:p>
    <w:p w14:paraId="543A090E" w14:textId="34BDA90D" w:rsidR="00A83260" w:rsidRDefault="00A83260" w:rsidP="00A83260">
      <w:pPr>
        <w:pStyle w:val="Paragrafoelenco"/>
        <w:numPr>
          <w:ilvl w:val="0"/>
          <w:numId w:val="35"/>
        </w:numPr>
        <w:spacing w:after="0" w:line="360" w:lineRule="auto"/>
        <w:ind w:left="0" w:firstLine="0"/>
        <w:jc w:val="both"/>
        <w:rPr>
          <w:rFonts w:ascii="Times New Roman" w:eastAsia="Arial" w:hAnsi="Times New Roman" w:cs="Times New Roman"/>
          <w:sz w:val="26"/>
          <w:szCs w:val="26"/>
        </w:rPr>
      </w:pPr>
      <w:r w:rsidRPr="002574B0">
        <w:rPr>
          <w:rFonts w:ascii="Times New Roman" w:eastAsia="Arial" w:hAnsi="Times New Roman" w:cs="Times New Roman"/>
          <w:sz w:val="26"/>
          <w:szCs w:val="26"/>
        </w:rPr>
        <w:t xml:space="preserve">È dato mandato al Congresso di Stato di produrre alla Commissione </w:t>
      </w:r>
      <w:r w:rsidR="000F3B0B">
        <w:rPr>
          <w:rFonts w:ascii="Times New Roman" w:eastAsia="Arial" w:hAnsi="Times New Roman" w:cs="Times New Roman"/>
          <w:sz w:val="26"/>
          <w:szCs w:val="26"/>
        </w:rPr>
        <w:t>C</w:t>
      </w:r>
      <w:r w:rsidRPr="002574B0">
        <w:rPr>
          <w:rFonts w:ascii="Times New Roman" w:eastAsia="Arial" w:hAnsi="Times New Roman" w:cs="Times New Roman"/>
          <w:sz w:val="26"/>
          <w:szCs w:val="26"/>
        </w:rPr>
        <w:t>onsiliare</w:t>
      </w:r>
      <w:r w:rsidRPr="00713D24">
        <w:t xml:space="preserve"> </w:t>
      </w:r>
      <w:r w:rsidRPr="002574B0">
        <w:rPr>
          <w:rFonts w:ascii="Times New Roman" w:eastAsia="Arial" w:hAnsi="Times New Roman" w:cs="Times New Roman"/>
          <w:sz w:val="26"/>
          <w:szCs w:val="26"/>
        </w:rPr>
        <w:t xml:space="preserve">competente, entro 45 giorni dall’entrata in vigore della presente </w:t>
      </w:r>
      <w:r w:rsidR="000F3B0B">
        <w:rPr>
          <w:rFonts w:ascii="Times New Roman" w:eastAsia="Arial" w:hAnsi="Times New Roman" w:cs="Times New Roman"/>
          <w:sz w:val="26"/>
          <w:szCs w:val="26"/>
        </w:rPr>
        <w:t>L</w:t>
      </w:r>
      <w:r w:rsidRPr="002574B0">
        <w:rPr>
          <w:rFonts w:ascii="Times New Roman" w:eastAsia="Arial" w:hAnsi="Times New Roman" w:cs="Times New Roman"/>
          <w:sz w:val="26"/>
          <w:szCs w:val="26"/>
        </w:rPr>
        <w:t xml:space="preserve">egge, un piano esecutivo </w:t>
      </w:r>
      <w:r>
        <w:rPr>
          <w:rFonts w:ascii="Times New Roman" w:eastAsia="Arial" w:hAnsi="Times New Roman" w:cs="Times New Roman"/>
          <w:sz w:val="26"/>
          <w:szCs w:val="26"/>
        </w:rPr>
        <w:t xml:space="preserve">per il superamento della Centrale Operativa Territoriale (COT), ristrutturando i meccanismi di contatto fra cittadini e Medicina di Base anche attraverso l’utilizzo di nuove modalità telematiche e informatiche diverse dal telefono, nonché ritornando a prevedere la possibilità di contatto diretto con il proprio medico ed il proprio infermiere di famiglia. </w:t>
      </w:r>
    </w:p>
    <w:p w14:paraId="517A4EDA" w14:textId="77777777" w:rsidR="00A83260" w:rsidRDefault="00A83260" w:rsidP="00A83260">
      <w:pPr>
        <w:pStyle w:val="Paragrafoelenco"/>
        <w:numPr>
          <w:ilvl w:val="0"/>
          <w:numId w:val="35"/>
        </w:numPr>
        <w:spacing w:after="0" w:line="360" w:lineRule="auto"/>
        <w:ind w:left="0" w:firstLine="0"/>
        <w:jc w:val="both"/>
        <w:rPr>
          <w:rFonts w:ascii="Times New Roman" w:eastAsia="Arial" w:hAnsi="Times New Roman" w:cs="Times New Roman"/>
          <w:sz w:val="26"/>
          <w:szCs w:val="26"/>
        </w:rPr>
      </w:pPr>
      <w:r>
        <w:rPr>
          <w:rFonts w:ascii="Times New Roman" w:eastAsia="Arial" w:hAnsi="Times New Roman" w:cs="Times New Roman"/>
          <w:sz w:val="26"/>
          <w:szCs w:val="26"/>
        </w:rPr>
        <w:lastRenderedPageBreak/>
        <w:t>La realizzazione di queste nuove forme di contatto e la soddisfazione dell’utenza rispetto a quanto sarà realizzato, devono costituire uno dei principali obiettivi di risultato del management dell’Iss. È dato mandato al Governo di modificare gli obiettivi da fissare per l’anno 2023 in tal senso.</w:t>
      </w:r>
    </w:p>
    <w:p w14:paraId="55CBA3DC" w14:textId="77777777" w:rsidR="0010766E" w:rsidRDefault="0010766E" w:rsidP="00A83260">
      <w:pPr>
        <w:spacing w:after="0" w:line="360" w:lineRule="auto"/>
        <w:jc w:val="center"/>
        <w:rPr>
          <w:rFonts w:ascii="Times New Roman" w:eastAsia="Arial" w:hAnsi="Times New Roman" w:cs="Times New Roman"/>
          <w:b/>
          <w:color w:val="FF3636"/>
          <w:sz w:val="40"/>
          <w:szCs w:val="40"/>
          <w:u w:val="single"/>
        </w:rPr>
      </w:pPr>
    </w:p>
    <w:p w14:paraId="35120180" w14:textId="1CEB5E3B" w:rsidR="00A83260" w:rsidRPr="00BE4481" w:rsidRDefault="0010766E" w:rsidP="00A83260">
      <w:pPr>
        <w:spacing w:after="0" w:line="360" w:lineRule="auto"/>
        <w:jc w:val="center"/>
        <w:rPr>
          <w:rFonts w:ascii="Times New Roman" w:hAnsi="Times New Roman" w:cs="Times New Roman"/>
          <w:sz w:val="40"/>
          <w:szCs w:val="40"/>
        </w:rPr>
      </w:pPr>
      <w:r>
        <w:rPr>
          <w:rFonts w:ascii="Times New Roman" w:eastAsia="Arial" w:hAnsi="Times New Roman" w:cs="Times New Roman"/>
          <w:b/>
          <w:color w:val="FF3636"/>
          <w:sz w:val="40"/>
          <w:szCs w:val="40"/>
          <w:u w:val="single"/>
        </w:rPr>
        <w:t>ALTRI TEMI</w:t>
      </w:r>
    </w:p>
    <w:p w14:paraId="0ED05947" w14:textId="216888F9" w:rsidR="00A83260" w:rsidRDefault="00A83260" w:rsidP="00A83260">
      <w:pPr>
        <w:pStyle w:val="Paragrafoelenco"/>
        <w:tabs>
          <w:tab w:val="left" w:pos="0"/>
        </w:tabs>
        <w:spacing w:after="0" w:line="360" w:lineRule="auto"/>
        <w:ind w:left="0"/>
        <w:jc w:val="center"/>
        <w:rPr>
          <w:rFonts w:ascii="Times New Roman" w:hAnsi="Times New Roman" w:cs="Times New Roman"/>
          <w:b/>
          <w:color w:val="0000FF"/>
          <w:sz w:val="26"/>
          <w:szCs w:val="26"/>
          <w:u w:val="single"/>
        </w:rPr>
      </w:pPr>
      <w:r>
        <w:rPr>
          <w:rFonts w:ascii="Times New Roman" w:hAnsi="Times New Roman" w:cs="Times New Roman"/>
          <w:b/>
          <w:color w:val="0000FF"/>
          <w:sz w:val="26"/>
          <w:szCs w:val="26"/>
          <w:u w:val="single"/>
        </w:rPr>
        <w:t xml:space="preserve">Articolo </w:t>
      </w:r>
      <w:r w:rsidR="0010766E">
        <w:rPr>
          <w:rFonts w:ascii="Times New Roman" w:hAnsi="Times New Roman" w:cs="Times New Roman"/>
          <w:b/>
          <w:color w:val="0000FF"/>
          <w:sz w:val="26"/>
          <w:szCs w:val="26"/>
          <w:u w:val="single"/>
        </w:rPr>
        <w:t xml:space="preserve">1 </w:t>
      </w:r>
      <w:proofErr w:type="spellStart"/>
      <w:r w:rsidR="0010766E">
        <w:rPr>
          <w:rFonts w:ascii="Times New Roman" w:hAnsi="Times New Roman" w:cs="Times New Roman"/>
          <w:b/>
          <w:color w:val="0000FF"/>
          <w:sz w:val="26"/>
          <w:szCs w:val="26"/>
          <w:u w:val="single"/>
        </w:rPr>
        <w:t>vicies</w:t>
      </w:r>
      <w:proofErr w:type="spellEnd"/>
      <w:r>
        <w:rPr>
          <w:rFonts w:ascii="Times New Roman" w:hAnsi="Times New Roman" w:cs="Times New Roman"/>
          <w:b/>
          <w:color w:val="0000FF"/>
          <w:sz w:val="26"/>
          <w:szCs w:val="26"/>
          <w:u w:val="single"/>
        </w:rPr>
        <w:t xml:space="preserve"> – AGGIUNTIVO</w:t>
      </w:r>
    </w:p>
    <w:p w14:paraId="69FDC119" w14:textId="77777777" w:rsidR="00A83260" w:rsidRDefault="00A83260" w:rsidP="00A83260">
      <w:pPr>
        <w:tabs>
          <w:tab w:val="left" w:pos="0"/>
        </w:tabs>
        <w:spacing w:after="0" w:line="360" w:lineRule="auto"/>
        <w:jc w:val="center"/>
        <w:rPr>
          <w:rFonts w:ascii="Times New Roman" w:hAnsi="Times New Roman" w:cs="Times New Roman"/>
          <w:sz w:val="26"/>
          <w:szCs w:val="26"/>
        </w:rPr>
      </w:pPr>
      <w:r>
        <w:rPr>
          <w:rFonts w:ascii="Times New Roman" w:hAnsi="Times New Roman" w:cs="Times New Roman"/>
          <w:b/>
          <w:color w:val="0000FF"/>
          <w:sz w:val="26"/>
          <w:szCs w:val="26"/>
          <w:u w:val="single"/>
        </w:rPr>
        <w:t>(Figure di sistema nella scuola secondaria superiore)</w:t>
      </w:r>
    </w:p>
    <w:p w14:paraId="46E5C0C9" w14:textId="77777777" w:rsidR="00A83260" w:rsidRDefault="00A83260" w:rsidP="00A83260">
      <w:pPr>
        <w:pStyle w:val="Paragrafoelenco"/>
        <w:numPr>
          <w:ilvl w:val="0"/>
          <w:numId w:val="12"/>
        </w:numPr>
        <w:tabs>
          <w:tab w:val="left" w:pos="0"/>
        </w:tabs>
        <w:spacing w:after="0" w:line="360" w:lineRule="auto"/>
        <w:ind w:left="0" w:firstLine="0"/>
        <w:jc w:val="both"/>
        <w:rPr>
          <w:rFonts w:ascii="Times New Roman" w:hAnsi="Times New Roman" w:cs="Times New Roman"/>
          <w:sz w:val="26"/>
          <w:szCs w:val="26"/>
        </w:rPr>
      </w:pPr>
      <w:r>
        <w:rPr>
          <w:rFonts w:ascii="Times New Roman" w:hAnsi="Times New Roman" w:cs="Times New Roman"/>
          <w:sz w:val="26"/>
          <w:szCs w:val="26"/>
        </w:rPr>
        <w:t>A partire dall’anno scolastico 2023-2024 sono previste nella Scuola Secondaria Superiore 45 ore settimanali di distacco dall’insegnamento.</w:t>
      </w:r>
    </w:p>
    <w:p w14:paraId="7721BDA7" w14:textId="77777777" w:rsidR="00A83260" w:rsidRDefault="00A83260" w:rsidP="00A83260">
      <w:pPr>
        <w:pStyle w:val="Paragrafoelenco"/>
        <w:numPr>
          <w:ilvl w:val="0"/>
          <w:numId w:val="12"/>
        </w:numPr>
        <w:tabs>
          <w:tab w:val="left" w:pos="0"/>
        </w:tabs>
        <w:spacing w:after="0" w:line="360" w:lineRule="auto"/>
        <w:ind w:left="0" w:firstLine="0"/>
        <w:jc w:val="both"/>
        <w:rPr>
          <w:rFonts w:ascii="Times New Roman" w:hAnsi="Times New Roman" w:cs="Times New Roman"/>
          <w:sz w:val="26"/>
          <w:szCs w:val="26"/>
        </w:rPr>
      </w:pPr>
      <w:r>
        <w:rPr>
          <w:rFonts w:ascii="Times New Roman" w:hAnsi="Times New Roman" w:cs="Times New Roman"/>
          <w:sz w:val="26"/>
          <w:szCs w:val="26"/>
        </w:rPr>
        <w:t>Il monte ore di cui al comma 1 concretizza la realizzazione delle figure di sistema per la Scuola Secondaria Superiore come previste dalla normativa vigente.</w:t>
      </w:r>
    </w:p>
    <w:p w14:paraId="64759951" w14:textId="77777777" w:rsidR="00A83260" w:rsidRDefault="00A83260" w:rsidP="00A83260">
      <w:pPr>
        <w:pStyle w:val="Paragrafoelenco"/>
        <w:numPr>
          <w:ilvl w:val="0"/>
          <w:numId w:val="12"/>
        </w:numPr>
        <w:tabs>
          <w:tab w:val="left" w:pos="0"/>
        </w:tabs>
        <w:spacing w:after="0" w:line="360" w:lineRule="auto"/>
        <w:ind w:left="0" w:firstLine="0"/>
        <w:jc w:val="both"/>
        <w:rPr>
          <w:rFonts w:ascii="Times New Roman" w:hAnsi="Times New Roman" w:cs="Times New Roman"/>
          <w:sz w:val="26"/>
          <w:szCs w:val="26"/>
        </w:rPr>
      </w:pPr>
      <w:r>
        <w:rPr>
          <w:rFonts w:ascii="Times New Roman" w:hAnsi="Times New Roman" w:cs="Times New Roman"/>
          <w:sz w:val="26"/>
          <w:szCs w:val="26"/>
        </w:rPr>
        <w:t>Il suddetto monte ore può essere utilizzato da un numero massimo di cinque insegnati, ovvero in numero inferiore, fino alla concorrenza delle ore previste</w:t>
      </w:r>
    </w:p>
    <w:p w14:paraId="0E8796C4" w14:textId="77777777" w:rsidR="00A83260" w:rsidRDefault="00A83260" w:rsidP="00A83260">
      <w:pPr>
        <w:pStyle w:val="Paragrafoelenco"/>
        <w:numPr>
          <w:ilvl w:val="0"/>
          <w:numId w:val="12"/>
        </w:numPr>
        <w:tabs>
          <w:tab w:val="left" w:pos="0"/>
        </w:tabs>
        <w:spacing w:after="0" w:line="360" w:lineRule="auto"/>
        <w:ind w:left="0" w:firstLine="0"/>
        <w:jc w:val="both"/>
        <w:rPr>
          <w:rFonts w:ascii="Times New Roman" w:hAnsi="Times New Roman" w:cs="Times New Roman"/>
          <w:sz w:val="26"/>
          <w:szCs w:val="26"/>
        </w:rPr>
      </w:pPr>
      <w:r>
        <w:rPr>
          <w:rFonts w:ascii="Times New Roman" w:hAnsi="Times New Roman" w:cs="Times New Roman"/>
          <w:sz w:val="26"/>
          <w:szCs w:val="26"/>
        </w:rPr>
        <w:t>La durata del distacco è annuale, riconfermabile per ulteriori due anni. Tali distacchi sono decisi dal Collegio dei Docenti dell’Istituto.</w:t>
      </w:r>
    </w:p>
    <w:p w14:paraId="656F26BC" w14:textId="77777777" w:rsidR="0021459C" w:rsidRDefault="0021459C" w:rsidP="0021459C">
      <w:pPr>
        <w:pStyle w:val="Paragrafoelenco"/>
        <w:tabs>
          <w:tab w:val="left" w:pos="0"/>
        </w:tabs>
        <w:spacing w:after="0" w:line="360" w:lineRule="auto"/>
        <w:ind w:left="0"/>
        <w:jc w:val="both"/>
        <w:rPr>
          <w:rFonts w:ascii="Times New Roman" w:hAnsi="Times New Roman" w:cs="Times New Roman"/>
          <w:sz w:val="26"/>
          <w:szCs w:val="26"/>
        </w:rPr>
      </w:pPr>
    </w:p>
    <w:p w14:paraId="1F3B3CDA" w14:textId="4FBA2947" w:rsidR="0021459C" w:rsidRDefault="0021459C" w:rsidP="0021459C">
      <w:pPr>
        <w:pStyle w:val="Paragrafoelenco"/>
        <w:tabs>
          <w:tab w:val="left" w:pos="0"/>
        </w:tabs>
        <w:spacing w:after="0" w:line="360" w:lineRule="auto"/>
        <w:ind w:left="0"/>
        <w:jc w:val="center"/>
        <w:rPr>
          <w:rFonts w:ascii="Times New Roman" w:hAnsi="Times New Roman" w:cs="Times New Roman"/>
          <w:b/>
          <w:color w:val="0000FF"/>
          <w:sz w:val="26"/>
          <w:szCs w:val="26"/>
          <w:u w:val="single"/>
        </w:rPr>
      </w:pPr>
      <w:r>
        <w:rPr>
          <w:rFonts w:ascii="Times New Roman" w:hAnsi="Times New Roman" w:cs="Times New Roman"/>
          <w:b/>
          <w:color w:val="0000FF"/>
          <w:sz w:val="26"/>
          <w:szCs w:val="26"/>
          <w:u w:val="single"/>
        </w:rPr>
        <w:t xml:space="preserve">Articolo 1 </w:t>
      </w:r>
      <w:proofErr w:type="spellStart"/>
      <w:r>
        <w:rPr>
          <w:rFonts w:ascii="Times New Roman" w:hAnsi="Times New Roman" w:cs="Times New Roman"/>
          <w:b/>
          <w:color w:val="0000FF"/>
          <w:sz w:val="26"/>
          <w:szCs w:val="26"/>
          <w:u w:val="single"/>
        </w:rPr>
        <w:t>vicies</w:t>
      </w:r>
      <w:proofErr w:type="spellEnd"/>
      <w:r>
        <w:rPr>
          <w:rFonts w:ascii="Times New Roman" w:hAnsi="Times New Roman" w:cs="Times New Roman"/>
          <w:b/>
          <w:color w:val="0000FF"/>
          <w:sz w:val="26"/>
          <w:szCs w:val="26"/>
          <w:u w:val="single"/>
        </w:rPr>
        <w:t xml:space="preserve"> </w:t>
      </w:r>
      <w:proofErr w:type="gramStart"/>
      <w:r>
        <w:rPr>
          <w:rFonts w:ascii="Times New Roman" w:hAnsi="Times New Roman" w:cs="Times New Roman"/>
          <w:b/>
          <w:color w:val="0000FF"/>
          <w:sz w:val="26"/>
          <w:szCs w:val="26"/>
          <w:u w:val="single"/>
        </w:rPr>
        <w:t xml:space="preserve">semel </w:t>
      </w:r>
      <w:r>
        <w:rPr>
          <w:rFonts w:ascii="Times New Roman" w:hAnsi="Times New Roman" w:cs="Times New Roman"/>
          <w:b/>
          <w:color w:val="0000FF"/>
          <w:sz w:val="26"/>
          <w:szCs w:val="26"/>
          <w:u w:val="single"/>
        </w:rPr>
        <w:t xml:space="preserve"> –</w:t>
      </w:r>
      <w:proofErr w:type="gramEnd"/>
      <w:r>
        <w:rPr>
          <w:rFonts w:ascii="Times New Roman" w:hAnsi="Times New Roman" w:cs="Times New Roman"/>
          <w:b/>
          <w:color w:val="0000FF"/>
          <w:sz w:val="26"/>
          <w:szCs w:val="26"/>
          <w:u w:val="single"/>
        </w:rPr>
        <w:t xml:space="preserve"> AGGIUNTIVO</w:t>
      </w:r>
    </w:p>
    <w:p w14:paraId="3E9A3B75" w14:textId="77777777" w:rsidR="0021459C" w:rsidRDefault="0021459C" w:rsidP="0021459C">
      <w:pPr>
        <w:tabs>
          <w:tab w:val="left" w:pos="0"/>
        </w:tabs>
        <w:spacing w:after="0" w:line="360" w:lineRule="auto"/>
        <w:jc w:val="center"/>
        <w:rPr>
          <w:rFonts w:ascii="Times New Roman" w:hAnsi="Times New Roman" w:cs="Times New Roman"/>
          <w:sz w:val="26"/>
          <w:szCs w:val="26"/>
        </w:rPr>
      </w:pPr>
      <w:r>
        <w:rPr>
          <w:rFonts w:ascii="Times New Roman" w:hAnsi="Times New Roman" w:cs="Times New Roman"/>
          <w:b/>
          <w:color w:val="0000FF"/>
          <w:sz w:val="26"/>
          <w:szCs w:val="26"/>
          <w:u w:val="single"/>
        </w:rPr>
        <w:t>(Ristrutturazione Centro di Formazione Professionale)</w:t>
      </w:r>
    </w:p>
    <w:p w14:paraId="3DE7BD30" w14:textId="77777777" w:rsidR="0021459C" w:rsidRPr="007310E5" w:rsidRDefault="0021459C" w:rsidP="0021459C">
      <w:pPr>
        <w:pStyle w:val="Paragrafoelenco"/>
        <w:numPr>
          <w:ilvl w:val="0"/>
          <w:numId w:val="18"/>
        </w:numPr>
        <w:tabs>
          <w:tab w:val="left" w:pos="0"/>
        </w:tabs>
        <w:spacing w:after="0" w:line="360" w:lineRule="auto"/>
        <w:ind w:left="0" w:firstLine="0"/>
        <w:jc w:val="both"/>
        <w:rPr>
          <w:rFonts w:ascii="Times New Roman" w:hAnsi="Times New Roman" w:cs="Times New Roman"/>
          <w:sz w:val="26"/>
          <w:szCs w:val="26"/>
        </w:rPr>
      </w:pPr>
      <w:r w:rsidRPr="007310E5">
        <w:rPr>
          <w:rFonts w:ascii="Times New Roman" w:hAnsi="Times New Roman" w:cs="Times New Roman"/>
          <w:sz w:val="26"/>
          <w:szCs w:val="26"/>
        </w:rPr>
        <w:t xml:space="preserve">Al fine di razionalizzare le attività del Centro di Formazione Professionale, dando organicità alle attività da quest’ultimo svolte e con l’obiettivo di valorizzarle e renderle più attrattive, è dato mandato al Congresso di Stato di emanare, entro 180 giorni dall’approvazione della presente </w:t>
      </w:r>
      <w:r>
        <w:rPr>
          <w:rFonts w:ascii="Times New Roman" w:hAnsi="Times New Roman" w:cs="Times New Roman"/>
          <w:sz w:val="26"/>
          <w:szCs w:val="26"/>
        </w:rPr>
        <w:t>L</w:t>
      </w:r>
      <w:r w:rsidRPr="007310E5">
        <w:rPr>
          <w:rFonts w:ascii="Times New Roman" w:hAnsi="Times New Roman" w:cs="Times New Roman"/>
          <w:sz w:val="26"/>
          <w:szCs w:val="26"/>
        </w:rPr>
        <w:t xml:space="preserve">egge, un Decreto Delegato per ristrutturare le attività svolte dal Centro di Formazione Professionale stesso, </w:t>
      </w:r>
      <w:proofErr w:type="spellStart"/>
      <w:r w:rsidRPr="007310E5">
        <w:rPr>
          <w:rFonts w:ascii="Times New Roman" w:hAnsi="Times New Roman" w:cs="Times New Roman"/>
          <w:sz w:val="26"/>
          <w:szCs w:val="26"/>
        </w:rPr>
        <w:t>affinchè</w:t>
      </w:r>
      <w:proofErr w:type="spellEnd"/>
      <w:r w:rsidRPr="007310E5">
        <w:rPr>
          <w:rFonts w:ascii="Times New Roman" w:hAnsi="Times New Roman" w:cs="Times New Roman"/>
          <w:sz w:val="26"/>
          <w:szCs w:val="26"/>
        </w:rPr>
        <w:t xml:space="preserve"> le attività scolastiche, nel triennio dedicato all’ottenimento del diploma di qualifica, vengano poste sotto la competenza del Dipartimento Istruzione, mantenendo in capo al Dipartimento Economia le attività dedicate alla formazione di secondo livello, dedicata ai lavoratori inoccupati, disoccupati o che necessitino di riqualificazione.</w:t>
      </w:r>
    </w:p>
    <w:p w14:paraId="02AF849F" w14:textId="77777777" w:rsidR="00A83260" w:rsidRDefault="00A83260" w:rsidP="00A83260">
      <w:pPr>
        <w:tabs>
          <w:tab w:val="left" w:pos="0"/>
        </w:tabs>
        <w:spacing w:after="0" w:line="360" w:lineRule="auto"/>
        <w:jc w:val="both"/>
        <w:rPr>
          <w:rFonts w:ascii="Times New Roman" w:hAnsi="Times New Roman" w:cs="Times New Roman"/>
          <w:sz w:val="26"/>
          <w:szCs w:val="26"/>
        </w:rPr>
      </w:pPr>
    </w:p>
    <w:p w14:paraId="6F8397EE" w14:textId="37EB3664" w:rsidR="00A83260" w:rsidRDefault="00A83260" w:rsidP="00A83260">
      <w:pPr>
        <w:pStyle w:val="Paragrafoelenco"/>
        <w:tabs>
          <w:tab w:val="left" w:pos="0"/>
        </w:tabs>
        <w:spacing w:after="0" w:line="360" w:lineRule="auto"/>
        <w:ind w:left="0"/>
        <w:jc w:val="center"/>
        <w:rPr>
          <w:rFonts w:ascii="Times New Roman" w:hAnsi="Times New Roman" w:cs="Times New Roman"/>
          <w:b/>
          <w:color w:val="0000FF"/>
          <w:sz w:val="26"/>
          <w:szCs w:val="26"/>
          <w:u w:val="single"/>
        </w:rPr>
      </w:pPr>
      <w:r>
        <w:rPr>
          <w:rFonts w:ascii="Times New Roman" w:hAnsi="Times New Roman" w:cs="Times New Roman"/>
          <w:b/>
          <w:color w:val="0000FF"/>
          <w:sz w:val="26"/>
          <w:szCs w:val="26"/>
          <w:u w:val="single"/>
        </w:rPr>
        <w:t xml:space="preserve">Articolo </w:t>
      </w:r>
      <w:proofErr w:type="spellStart"/>
      <w:r w:rsidR="0021459C">
        <w:rPr>
          <w:rFonts w:ascii="Times New Roman" w:hAnsi="Times New Roman" w:cs="Times New Roman"/>
          <w:b/>
          <w:color w:val="0000FF"/>
          <w:sz w:val="26"/>
          <w:szCs w:val="26"/>
          <w:u w:val="single"/>
        </w:rPr>
        <w:t>vicies</w:t>
      </w:r>
      <w:proofErr w:type="spellEnd"/>
      <w:r w:rsidR="0021459C">
        <w:rPr>
          <w:rFonts w:ascii="Times New Roman" w:hAnsi="Times New Roman" w:cs="Times New Roman"/>
          <w:b/>
          <w:color w:val="0000FF"/>
          <w:sz w:val="26"/>
          <w:szCs w:val="26"/>
          <w:u w:val="single"/>
        </w:rPr>
        <w:t xml:space="preserve"> bis</w:t>
      </w:r>
      <w:r>
        <w:rPr>
          <w:rFonts w:ascii="Times New Roman" w:hAnsi="Times New Roman" w:cs="Times New Roman"/>
          <w:b/>
          <w:color w:val="0000FF"/>
          <w:sz w:val="26"/>
          <w:szCs w:val="26"/>
          <w:u w:val="single"/>
        </w:rPr>
        <w:t xml:space="preserve"> – AGGIUNTIVO</w:t>
      </w:r>
    </w:p>
    <w:p w14:paraId="266874CE" w14:textId="77777777" w:rsidR="00A83260" w:rsidRDefault="00A83260" w:rsidP="00A83260">
      <w:pPr>
        <w:tabs>
          <w:tab w:val="left" w:pos="0"/>
        </w:tabs>
        <w:spacing w:after="0" w:line="360" w:lineRule="auto"/>
        <w:jc w:val="center"/>
        <w:rPr>
          <w:rFonts w:ascii="Times New Roman" w:hAnsi="Times New Roman" w:cs="Times New Roman"/>
          <w:sz w:val="26"/>
          <w:szCs w:val="26"/>
        </w:rPr>
      </w:pPr>
      <w:r>
        <w:rPr>
          <w:rFonts w:ascii="Times New Roman" w:hAnsi="Times New Roman" w:cs="Times New Roman"/>
          <w:b/>
          <w:color w:val="0000FF"/>
          <w:sz w:val="26"/>
          <w:szCs w:val="26"/>
          <w:u w:val="single"/>
        </w:rPr>
        <w:t>(Commissione Speciale sull’andamento demografico)</w:t>
      </w:r>
    </w:p>
    <w:p w14:paraId="1055D9AE" w14:textId="70A0B9F1" w:rsidR="00A83260" w:rsidRDefault="00A83260" w:rsidP="00A83260">
      <w:pPr>
        <w:pStyle w:val="Paragrafoelenco"/>
        <w:numPr>
          <w:ilvl w:val="0"/>
          <w:numId w:val="19"/>
        </w:numPr>
        <w:tabs>
          <w:tab w:val="left" w:pos="0"/>
        </w:tabs>
        <w:spacing w:after="0" w:line="360" w:lineRule="auto"/>
        <w:ind w:left="0" w:firstLine="0"/>
        <w:jc w:val="both"/>
        <w:rPr>
          <w:rFonts w:ascii="Times New Roman" w:hAnsi="Times New Roman" w:cs="Times New Roman"/>
          <w:sz w:val="26"/>
          <w:szCs w:val="26"/>
        </w:rPr>
      </w:pPr>
      <w:r>
        <w:rPr>
          <w:rFonts w:ascii="Times New Roman" w:hAnsi="Times New Roman" w:cs="Times New Roman"/>
          <w:sz w:val="26"/>
          <w:szCs w:val="26"/>
        </w:rPr>
        <w:lastRenderedPageBreak/>
        <w:t>Alla luce degli andamenti demografici oramai consolidati, con particolare riguardo all’oramai consolidato saldo naturale negativo annuale fra popolazione nata e popolazione morta, al</w:t>
      </w:r>
      <w:r w:rsidR="000F3B0B">
        <w:rPr>
          <w:rFonts w:ascii="Times New Roman" w:hAnsi="Times New Roman" w:cs="Times New Roman"/>
          <w:sz w:val="26"/>
          <w:szCs w:val="26"/>
        </w:rPr>
        <w:t>la</w:t>
      </w:r>
      <w:r>
        <w:rPr>
          <w:rFonts w:ascii="Times New Roman" w:hAnsi="Times New Roman" w:cs="Times New Roman"/>
          <w:sz w:val="26"/>
          <w:szCs w:val="26"/>
        </w:rPr>
        <w:t xml:space="preserve"> forte riduzione dei tassi di natalità, alla riduzione del rapporto lavoratori-pensionati e all’invecchiamento sempre più forte della popolazione, con un assottigliamento sempre maggiore delle fasce di età più giovani e quindi potenziali rischi anche per il mercato del lavoro, è istituita una Commissione Speciale tecnico-politica con l’obiettivo di individuare interventi, almeno, per:</w:t>
      </w:r>
    </w:p>
    <w:p w14:paraId="488CAFB1" w14:textId="77777777" w:rsidR="00A83260" w:rsidRDefault="00A83260" w:rsidP="00A83260">
      <w:pPr>
        <w:pStyle w:val="Paragrafoelenco"/>
        <w:numPr>
          <w:ilvl w:val="0"/>
          <w:numId w:val="20"/>
        </w:numPr>
        <w:tabs>
          <w:tab w:val="left" w:pos="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sostenere il più possibile la natalità, anche ristrutturando il modello di welfare;</w:t>
      </w:r>
    </w:p>
    <w:p w14:paraId="583CFE14" w14:textId="77777777" w:rsidR="00A83260" w:rsidRDefault="00A83260" w:rsidP="00A83260">
      <w:pPr>
        <w:pStyle w:val="Paragrafoelenco"/>
        <w:numPr>
          <w:ilvl w:val="0"/>
          <w:numId w:val="20"/>
        </w:numPr>
        <w:tabs>
          <w:tab w:val="left" w:pos="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predisporre interventi sul sistema pensionistico a ripartizione che abbiano l’obiettivo di raggiungere la sostenibilità finanziaria nel lungo periodo del fondo pensioni;</w:t>
      </w:r>
    </w:p>
    <w:p w14:paraId="36EC2ADF" w14:textId="610A4171" w:rsidR="00A83260" w:rsidRDefault="00A83260" w:rsidP="00A83260">
      <w:pPr>
        <w:pStyle w:val="Paragrafoelenco"/>
        <w:numPr>
          <w:ilvl w:val="0"/>
          <w:numId w:val="20"/>
        </w:numPr>
        <w:tabs>
          <w:tab w:val="left" w:pos="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riformare i servizi di welfare per la terza età, anche con l’obiettivo di consentire agli anziani di non rimanere soli e non dipendere dalle assistenti domiciliari negli ultimi anni della loro vita.</w:t>
      </w:r>
    </w:p>
    <w:p w14:paraId="1D356C2E" w14:textId="77777777" w:rsidR="00A83260" w:rsidRDefault="00A83260" w:rsidP="00A83260">
      <w:pPr>
        <w:pStyle w:val="Paragrafoelenco"/>
        <w:numPr>
          <w:ilvl w:val="0"/>
          <w:numId w:val="19"/>
        </w:numPr>
        <w:tabs>
          <w:tab w:val="left" w:pos="0"/>
        </w:tabs>
        <w:spacing w:after="0" w:line="360" w:lineRule="auto"/>
        <w:ind w:left="0" w:firstLine="0"/>
        <w:jc w:val="both"/>
        <w:rPr>
          <w:rFonts w:ascii="Times New Roman" w:hAnsi="Times New Roman" w:cs="Times New Roman"/>
          <w:sz w:val="26"/>
          <w:szCs w:val="26"/>
        </w:rPr>
      </w:pPr>
      <w:r>
        <w:rPr>
          <w:rFonts w:ascii="Times New Roman" w:hAnsi="Times New Roman" w:cs="Times New Roman"/>
          <w:sz w:val="26"/>
          <w:szCs w:val="26"/>
        </w:rPr>
        <w:t>La Commissione è composta da 1 rappresentante per ciascuna forza politica presente in Consiglio Grande e Generale, da un rappresentante per ciascuna organizzazione sindacale e datoriale giuridicamente riconosciuta, nonché da 10 membri nominati dalla Consulta per le Associazioni all’interno delle associazioni che si occupano di tali tematiche.</w:t>
      </w:r>
    </w:p>
    <w:p w14:paraId="2583D8E9" w14:textId="77777777" w:rsidR="00A83260" w:rsidRDefault="00A83260" w:rsidP="00A83260">
      <w:pPr>
        <w:pStyle w:val="Paragrafoelenco"/>
        <w:numPr>
          <w:ilvl w:val="0"/>
          <w:numId w:val="19"/>
        </w:numPr>
        <w:tabs>
          <w:tab w:val="left" w:pos="0"/>
        </w:tabs>
        <w:spacing w:after="0" w:line="360" w:lineRule="auto"/>
        <w:ind w:left="0" w:firstLine="0"/>
        <w:jc w:val="both"/>
        <w:rPr>
          <w:rFonts w:ascii="Times New Roman" w:hAnsi="Times New Roman" w:cs="Times New Roman"/>
          <w:sz w:val="26"/>
          <w:szCs w:val="26"/>
        </w:rPr>
      </w:pPr>
      <w:r>
        <w:rPr>
          <w:rFonts w:ascii="Times New Roman" w:hAnsi="Times New Roman" w:cs="Times New Roman"/>
          <w:sz w:val="26"/>
          <w:szCs w:val="26"/>
        </w:rPr>
        <w:t>La Commissione avrà il compito di elaborare proposte e progetti che possano avere un efficacia entro un orizzonte temporale massimo decennale, e dovrà produrre scenari e stime numeriche sugli impatti degli interventi proposti.</w:t>
      </w:r>
    </w:p>
    <w:p w14:paraId="4E251EF6" w14:textId="77777777" w:rsidR="00A83260" w:rsidRDefault="00A83260" w:rsidP="00A83260">
      <w:pPr>
        <w:pStyle w:val="Paragrafoelenco"/>
        <w:numPr>
          <w:ilvl w:val="0"/>
          <w:numId w:val="19"/>
        </w:numPr>
        <w:tabs>
          <w:tab w:val="left" w:pos="0"/>
        </w:tabs>
        <w:spacing w:after="0" w:line="360" w:lineRule="auto"/>
        <w:ind w:left="0" w:firstLine="0"/>
        <w:jc w:val="both"/>
        <w:rPr>
          <w:rFonts w:ascii="Times New Roman" w:hAnsi="Times New Roman" w:cs="Times New Roman"/>
          <w:sz w:val="26"/>
          <w:szCs w:val="26"/>
        </w:rPr>
      </w:pPr>
      <w:r>
        <w:rPr>
          <w:rFonts w:ascii="Times New Roman" w:hAnsi="Times New Roman" w:cs="Times New Roman"/>
          <w:sz w:val="26"/>
          <w:szCs w:val="26"/>
        </w:rPr>
        <w:t>La Commissione è organo consultivo, le cui indicazioni non sono vincolanti per il Congresso di Stato.</w:t>
      </w:r>
    </w:p>
    <w:p w14:paraId="0121A5AD" w14:textId="77777777" w:rsidR="00A83260" w:rsidRDefault="00A83260" w:rsidP="00A83260">
      <w:pPr>
        <w:pStyle w:val="Paragrafoelenco"/>
        <w:numPr>
          <w:ilvl w:val="0"/>
          <w:numId w:val="19"/>
        </w:numPr>
        <w:tabs>
          <w:tab w:val="left" w:pos="0"/>
        </w:tabs>
        <w:spacing w:after="0" w:line="360" w:lineRule="auto"/>
        <w:ind w:left="0" w:firstLine="0"/>
        <w:jc w:val="both"/>
        <w:rPr>
          <w:rFonts w:ascii="Times New Roman" w:hAnsi="Times New Roman" w:cs="Times New Roman"/>
          <w:sz w:val="26"/>
          <w:szCs w:val="26"/>
        </w:rPr>
      </w:pPr>
      <w:r>
        <w:rPr>
          <w:rFonts w:ascii="Times New Roman" w:hAnsi="Times New Roman" w:cs="Times New Roman"/>
          <w:sz w:val="26"/>
          <w:szCs w:val="26"/>
        </w:rPr>
        <w:t xml:space="preserve">Il Congresso di Stato disciplina, con proprio Regolamento, le modalità di funzionamento e deliberazione della Commissione. </w:t>
      </w:r>
    </w:p>
    <w:p w14:paraId="02DD9D51" w14:textId="77777777" w:rsidR="00A83260" w:rsidRDefault="00A83260" w:rsidP="00A83260">
      <w:pPr>
        <w:pStyle w:val="Paragrafoelenco"/>
        <w:tabs>
          <w:tab w:val="left" w:pos="0"/>
        </w:tabs>
        <w:spacing w:after="0" w:line="360" w:lineRule="auto"/>
        <w:ind w:left="0"/>
        <w:jc w:val="center"/>
        <w:rPr>
          <w:rFonts w:ascii="Times New Roman" w:hAnsi="Times New Roman" w:cs="Times New Roman"/>
          <w:b/>
          <w:color w:val="0000FF"/>
          <w:sz w:val="26"/>
          <w:szCs w:val="26"/>
          <w:u w:val="single"/>
        </w:rPr>
      </w:pPr>
    </w:p>
    <w:p w14:paraId="0AE8DA23" w14:textId="6BC311F1" w:rsidR="00A83260" w:rsidRDefault="00A83260" w:rsidP="00A83260">
      <w:pPr>
        <w:pStyle w:val="Paragrafoelenco"/>
        <w:tabs>
          <w:tab w:val="left" w:pos="0"/>
        </w:tabs>
        <w:spacing w:after="0" w:line="360" w:lineRule="auto"/>
        <w:ind w:left="0"/>
        <w:jc w:val="center"/>
        <w:rPr>
          <w:rFonts w:ascii="Times New Roman" w:hAnsi="Times New Roman" w:cs="Times New Roman"/>
          <w:b/>
          <w:color w:val="0000FF"/>
          <w:sz w:val="26"/>
          <w:szCs w:val="26"/>
          <w:u w:val="single"/>
        </w:rPr>
      </w:pPr>
      <w:r>
        <w:rPr>
          <w:rFonts w:ascii="Times New Roman" w:hAnsi="Times New Roman" w:cs="Times New Roman"/>
          <w:b/>
          <w:color w:val="0000FF"/>
          <w:sz w:val="26"/>
          <w:szCs w:val="26"/>
          <w:u w:val="single"/>
        </w:rPr>
        <w:t xml:space="preserve">Articolo </w:t>
      </w:r>
      <w:proofErr w:type="spellStart"/>
      <w:r w:rsidR="0021459C">
        <w:rPr>
          <w:rFonts w:ascii="Times New Roman" w:hAnsi="Times New Roman" w:cs="Times New Roman"/>
          <w:b/>
          <w:color w:val="0000FF"/>
          <w:sz w:val="26"/>
          <w:szCs w:val="26"/>
          <w:u w:val="single"/>
        </w:rPr>
        <w:t>vicies</w:t>
      </w:r>
      <w:proofErr w:type="spellEnd"/>
      <w:r w:rsidR="0021459C">
        <w:rPr>
          <w:rFonts w:ascii="Times New Roman" w:hAnsi="Times New Roman" w:cs="Times New Roman"/>
          <w:b/>
          <w:color w:val="0000FF"/>
          <w:sz w:val="26"/>
          <w:szCs w:val="26"/>
          <w:u w:val="single"/>
        </w:rPr>
        <w:t xml:space="preserve"> ter</w:t>
      </w:r>
      <w:r>
        <w:rPr>
          <w:rFonts w:ascii="Times New Roman" w:hAnsi="Times New Roman" w:cs="Times New Roman"/>
          <w:b/>
          <w:color w:val="0000FF"/>
          <w:sz w:val="26"/>
          <w:szCs w:val="26"/>
          <w:u w:val="single"/>
        </w:rPr>
        <w:t xml:space="preserve"> – AGGIUNTIVO</w:t>
      </w:r>
    </w:p>
    <w:p w14:paraId="2205280D" w14:textId="77777777" w:rsidR="00A83260" w:rsidRDefault="00A83260" w:rsidP="00A83260">
      <w:pPr>
        <w:tabs>
          <w:tab w:val="left" w:pos="0"/>
        </w:tabs>
        <w:spacing w:after="0" w:line="360" w:lineRule="auto"/>
        <w:jc w:val="center"/>
        <w:rPr>
          <w:rFonts w:ascii="Times New Roman" w:hAnsi="Times New Roman" w:cs="Times New Roman"/>
          <w:b/>
          <w:color w:val="0000FF"/>
          <w:sz w:val="26"/>
          <w:szCs w:val="26"/>
          <w:u w:val="single"/>
        </w:rPr>
      </w:pPr>
      <w:r>
        <w:rPr>
          <w:rFonts w:ascii="Times New Roman" w:hAnsi="Times New Roman" w:cs="Times New Roman"/>
          <w:b/>
          <w:color w:val="0000FF"/>
          <w:sz w:val="26"/>
          <w:szCs w:val="26"/>
          <w:u w:val="single"/>
        </w:rPr>
        <w:t>(Consiglio per la Previdenza)</w:t>
      </w:r>
    </w:p>
    <w:p w14:paraId="3ADE2FD2" w14:textId="77777777" w:rsidR="00A83260" w:rsidRPr="00BF3063" w:rsidRDefault="00A83260" w:rsidP="00A83260">
      <w:pPr>
        <w:numPr>
          <w:ilvl w:val="0"/>
          <w:numId w:val="26"/>
        </w:numPr>
        <w:tabs>
          <w:tab w:val="left" w:pos="0"/>
        </w:tabs>
        <w:spacing w:after="0" w:line="360" w:lineRule="auto"/>
        <w:ind w:left="0" w:firstLine="0"/>
        <w:jc w:val="both"/>
        <w:rPr>
          <w:rFonts w:ascii="Times New Roman" w:hAnsi="Times New Roman" w:cs="Times New Roman"/>
          <w:sz w:val="26"/>
          <w:szCs w:val="26"/>
        </w:rPr>
      </w:pPr>
      <w:r w:rsidRPr="00BF3063">
        <w:rPr>
          <w:rFonts w:ascii="Times New Roman" w:hAnsi="Times New Roman" w:cs="Times New Roman"/>
          <w:sz w:val="26"/>
          <w:szCs w:val="26"/>
        </w:rPr>
        <w:t>L’articolo 9, comma 5, della Legge 20 novembre 2004 n. 165 è così sostituito:</w:t>
      </w:r>
    </w:p>
    <w:p w14:paraId="78DD5564" w14:textId="76A1B392" w:rsidR="00A83260" w:rsidRPr="00BF3063" w:rsidRDefault="00A83260" w:rsidP="00A83260">
      <w:pPr>
        <w:tabs>
          <w:tab w:val="left" w:pos="0"/>
        </w:tabs>
        <w:spacing w:after="0" w:line="360" w:lineRule="auto"/>
        <w:jc w:val="both"/>
        <w:rPr>
          <w:rFonts w:ascii="Times New Roman" w:hAnsi="Times New Roman" w:cs="Times New Roman"/>
          <w:sz w:val="26"/>
          <w:szCs w:val="26"/>
        </w:rPr>
      </w:pPr>
      <w:r w:rsidRPr="00BF3063">
        <w:rPr>
          <w:rFonts w:ascii="Times New Roman" w:hAnsi="Times New Roman" w:cs="Times New Roman"/>
          <w:sz w:val="26"/>
          <w:szCs w:val="26"/>
        </w:rPr>
        <w:t xml:space="preserve">“Il Consiglio per la Previdenza è composto da </w:t>
      </w:r>
      <w:r w:rsidR="000F3B0B">
        <w:rPr>
          <w:rFonts w:ascii="Times New Roman" w:hAnsi="Times New Roman" w:cs="Times New Roman"/>
          <w:sz w:val="26"/>
          <w:szCs w:val="26"/>
        </w:rPr>
        <w:t xml:space="preserve">12 </w:t>
      </w:r>
      <w:r w:rsidRPr="00BF3063">
        <w:rPr>
          <w:rFonts w:ascii="Times New Roman" w:hAnsi="Times New Roman" w:cs="Times New Roman"/>
          <w:sz w:val="26"/>
          <w:szCs w:val="26"/>
        </w:rPr>
        <w:t xml:space="preserve">membri nominati dal Consiglio Grande e Generale, di cui </w:t>
      </w:r>
      <w:r w:rsidR="000F3B0B">
        <w:rPr>
          <w:rFonts w:ascii="Times New Roman" w:hAnsi="Times New Roman" w:cs="Times New Roman"/>
          <w:sz w:val="26"/>
          <w:szCs w:val="26"/>
        </w:rPr>
        <w:t>3</w:t>
      </w:r>
      <w:r w:rsidRPr="00BF3063">
        <w:rPr>
          <w:rFonts w:ascii="Times New Roman" w:hAnsi="Times New Roman" w:cs="Times New Roman"/>
          <w:sz w:val="26"/>
          <w:szCs w:val="26"/>
        </w:rPr>
        <w:t xml:space="preserve"> indicati dalle organizzazioni sindacali dei lavoratori dipendenti e tre dalle associazioni di categoria dei datori di lavoro e del lavoro autonomo, </w:t>
      </w:r>
      <w:r w:rsidRPr="00BF3063">
        <w:rPr>
          <w:rFonts w:ascii="Times New Roman" w:hAnsi="Times New Roman" w:cs="Times New Roman"/>
          <w:b/>
          <w:sz w:val="26"/>
          <w:szCs w:val="26"/>
        </w:rPr>
        <w:t>fra persone con comprovata esperienza e competenza almeno triennale in materia di gestione di portafogli e patrimoni e di investimenti finanziari</w:t>
      </w:r>
      <w:r w:rsidRPr="00BF3063">
        <w:rPr>
          <w:rFonts w:ascii="Times New Roman" w:hAnsi="Times New Roman" w:cs="Times New Roman"/>
          <w:sz w:val="26"/>
          <w:szCs w:val="26"/>
        </w:rPr>
        <w:t>. I membri durano in carica cinque anni”.</w:t>
      </w:r>
    </w:p>
    <w:p w14:paraId="5E21CFD1" w14:textId="77777777" w:rsidR="00A83260" w:rsidRPr="00BF3063" w:rsidRDefault="00A83260" w:rsidP="00A83260">
      <w:pPr>
        <w:tabs>
          <w:tab w:val="left" w:pos="0"/>
        </w:tabs>
        <w:spacing w:after="0" w:line="360" w:lineRule="auto"/>
        <w:jc w:val="both"/>
        <w:rPr>
          <w:rFonts w:ascii="Times New Roman" w:hAnsi="Times New Roman" w:cs="Times New Roman"/>
          <w:sz w:val="26"/>
          <w:szCs w:val="26"/>
        </w:rPr>
      </w:pPr>
      <w:r w:rsidRPr="00BF3063">
        <w:rPr>
          <w:rFonts w:ascii="Times New Roman" w:hAnsi="Times New Roman" w:cs="Times New Roman"/>
          <w:sz w:val="26"/>
          <w:szCs w:val="26"/>
        </w:rPr>
        <w:lastRenderedPageBreak/>
        <w:t>2.</w:t>
      </w:r>
      <w:r w:rsidRPr="00BF3063">
        <w:rPr>
          <w:rFonts w:ascii="Times New Roman" w:hAnsi="Times New Roman" w:cs="Times New Roman"/>
          <w:sz w:val="26"/>
          <w:szCs w:val="26"/>
        </w:rPr>
        <w:tab/>
        <w:t>Il Consiglio per la Previdenza viene rinominato entro 30 giorni dall’entrata in vigore della presente legge, per rispettare le caratteristiche di cui al comma 1.</w:t>
      </w:r>
    </w:p>
    <w:p w14:paraId="522E73BE" w14:textId="77777777" w:rsidR="00A83260" w:rsidRPr="00BF3063" w:rsidRDefault="00A83260" w:rsidP="00A83260">
      <w:pPr>
        <w:tabs>
          <w:tab w:val="left" w:pos="0"/>
        </w:tabs>
        <w:spacing w:after="0" w:line="360" w:lineRule="auto"/>
        <w:jc w:val="both"/>
        <w:rPr>
          <w:rFonts w:ascii="Times New Roman" w:hAnsi="Times New Roman" w:cs="Times New Roman"/>
          <w:sz w:val="26"/>
          <w:szCs w:val="26"/>
        </w:rPr>
      </w:pPr>
      <w:r w:rsidRPr="00BF3063">
        <w:rPr>
          <w:rFonts w:ascii="Times New Roman" w:hAnsi="Times New Roman" w:cs="Times New Roman"/>
          <w:sz w:val="26"/>
          <w:szCs w:val="26"/>
        </w:rPr>
        <w:t>3.</w:t>
      </w:r>
      <w:r w:rsidRPr="00BF3063">
        <w:rPr>
          <w:rFonts w:ascii="Times New Roman" w:hAnsi="Times New Roman" w:cs="Times New Roman"/>
          <w:sz w:val="26"/>
          <w:szCs w:val="26"/>
        </w:rPr>
        <w:tab/>
        <w:t>Con Decreto Delegato, da emanarsi entro 12 mesi dall’entrata in vigore della presente legge, sarà disciplinata la creazione di un “Ente per la Gestione dei Fondi Pensione”, a capitale interamente pubblico e a gestione privata, che:</w:t>
      </w:r>
    </w:p>
    <w:p w14:paraId="5B1B32AA" w14:textId="77777777" w:rsidR="00A83260" w:rsidRPr="00BF3063" w:rsidRDefault="00A83260" w:rsidP="00A83260">
      <w:pPr>
        <w:numPr>
          <w:ilvl w:val="0"/>
          <w:numId w:val="27"/>
        </w:numPr>
        <w:tabs>
          <w:tab w:val="left" w:pos="0"/>
        </w:tabs>
        <w:spacing w:after="0" w:line="360" w:lineRule="auto"/>
        <w:jc w:val="both"/>
        <w:rPr>
          <w:rFonts w:ascii="Times New Roman" w:hAnsi="Times New Roman" w:cs="Times New Roman"/>
          <w:sz w:val="26"/>
          <w:szCs w:val="26"/>
        </w:rPr>
      </w:pPr>
      <w:r w:rsidRPr="00BF3063">
        <w:rPr>
          <w:rFonts w:ascii="Times New Roman" w:hAnsi="Times New Roman" w:cs="Times New Roman"/>
          <w:sz w:val="26"/>
          <w:szCs w:val="26"/>
        </w:rPr>
        <w:t>si occupi professionalmente della gestione delle risorse del primo e del secondo pilastro previdenziale;</w:t>
      </w:r>
    </w:p>
    <w:p w14:paraId="3D737A27" w14:textId="77777777" w:rsidR="00A83260" w:rsidRPr="00BF3063" w:rsidRDefault="00A83260" w:rsidP="00A83260">
      <w:pPr>
        <w:numPr>
          <w:ilvl w:val="0"/>
          <w:numId w:val="27"/>
        </w:numPr>
        <w:tabs>
          <w:tab w:val="left" w:pos="0"/>
        </w:tabs>
        <w:spacing w:after="0" w:line="360" w:lineRule="auto"/>
        <w:jc w:val="both"/>
        <w:rPr>
          <w:rFonts w:ascii="Times New Roman" w:hAnsi="Times New Roman" w:cs="Times New Roman"/>
          <w:sz w:val="26"/>
          <w:szCs w:val="26"/>
        </w:rPr>
      </w:pPr>
      <w:r w:rsidRPr="00BF3063">
        <w:rPr>
          <w:rFonts w:ascii="Times New Roman" w:hAnsi="Times New Roman" w:cs="Times New Roman"/>
          <w:sz w:val="26"/>
          <w:szCs w:val="26"/>
        </w:rPr>
        <w:t>preveda un Consiglio di Amministrazione rappresentativo di tutte le parti sociali e composto di persone competenti sulla materia, con comprovata esperienza e competenza almeno triennale in materia di gestione di portafogli e patrimoni e di investimenti finanziari, che si occupi dell’</w:t>
      </w:r>
      <w:proofErr w:type="spellStart"/>
      <w:r w:rsidRPr="00BF3063">
        <w:rPr>
          <w:rFonts w:ascii="Times New Roman" w:hAnsi="Times New Roman" w:cs="Times New Roman"/>
          <w:sz w:val="26"/>
          <w:szCs w:val="26"/>
        </w:rPr>
        <w:t>asset</w:t>
      </w:r>
      <w:proofErr w:type="spellEnd"/>
      <w:r w:rsidRPr="00BF3063">
        <w:rPr>
          <w:rFonts w:ascii="Times New Roman" w:hAnsi="Times New Roman" w:cs="Times New Roman"/>
          <w:sz w:val="26"/>
          <w:szCs w:val="26"/>
        </w:rPr>
        <w:t xml:space="preserve"> </w:t>
      </w:r>
      <w:proofErr w:type="spellStart"/>
      <w:r w:rsidRPr="00BF3063">
        <w:rPr>
          <w:rFonts w:ascii="Times New Roman" w:hAnsi="Times New Roman" w:cs="Times New Roman"/>
          <w:sz w:val="26"/>
          <w:szCs w:val="26"/>
        </w:rPr>
        <w:t>allocation</w:t>
      </w:r>
      <w:proofErr w:type="spellEnd"/>
      <w:r w:rsidRPr="00BF3063">
        <w:rPr>
          <w:rFonts w:ascii="Times New Roman" w:hAnsi="Times New Roman" w:cs="Times New Roman"/>
          <w:sz w:val="26"/>
          <w:szCs w:val="26"/>
        </w:rPr>
        <w:t>;</w:t>
      </w:r>
    </w:p>
    <w:p w14:paraId="1221EE35" w14:textId="77777777" w:rsidR="00A83260" w:rsidRPr="00BF3063" w:rsidRDefault="00A83260" w:rsidP="00A83260">
      <w:pPr>
        <w:numPr>
          <w:ilvl w:val="0"/>
          <w:numId w:val="27"/>
        </w:numPr>
        <w:tabs>
          <w:tab w:val="left" w:pos="0"/>
        </w:tabs>
        <w:spacing w:after="0" w:line="360" w:lineRule="auto"/>
        <w:jc w:val="both"/>
        <w:rPr>
          <w:rFonts w:ascii="Times New Roman" w:hAnsi="Times New Roman" w:cs="Times New Roman"/>
          <w:sz w:val="26"/>
          <w:szCs w:val="26"/>
        </w:rPr>
      </w:pPr>
      <w:r w:rsidRPr="00BF3063">
        <w:rPr>
          <w:rFonts w:ascii="Times New Roman" w:hAnsi="Times New Roman" w:cs="Times New Roman"/>
          <w:sz w:val="26"/>
          <w:szCs w:val="26"/>
        </w:rPr>
        <w:t>abbia alle proprie dipendenze personale preparato e competente per lo svolgimento dell’attività di compravendita sui mercati di strumenti finanziari, sulla base dell’</w:t>
      </w:r>
      <w:proofErr w:type="spellStart"/>
      <w:r w:rsidRPr="00BF3063">
        <w:rPr>
          <w:rFonts w:ascii="Times New Roman" w:hAnsi="Times New Roman" w:cs="Times New Roman"/>
          <w:sz w:val="26"/>
          <w:szCs w:val="26"/>
        </w:rPr>
        <w:t>asset</w:t>
      </w:r>
      <w:proofErr w:type="spellEnd"/>
      <w:r w:rsidRPr="00BF3063">
        <w:rPr>
          <w:rFonts w:ascii="Times New Roman" w:hAnsi="Times New Roman" w:cs="Times New Roman"/>
          <w:sz w:val="26"/>
          <w:szCs w:val="26"/>
        </w:rPr>
        <w:t xml:space="preserve"> </w:t>
      </w:r>
      <w:proofErr w:type="spellStart"/>
      <w:r w:rsidRPr="00BF3063">
        <w:rPr>
          <w:rFonts w:ascii="Times New Roman" w:hAnsi="Times New Roman" w:cs="Times New Roman"/>
          <w:sz w:val="26"/>
          <w:szCs w:val="26"/>
        </w:rPr>
        <w:t>allocation</w:t>
      </w:r>
      <w:proofErr w:type="spellEnd"/>
      <w:r w:rsidRPr="00BF3063">
        <w:rPr>
          <w:rFonts w:ascii="Times New Roman" w:hAnsi="Times New Roman" w:cs="Times New Roman"/>
          <w:sz w:val="26"/>
          <w:szCs w:val="26"/>
        </w:rPr>
        <w:t xml:space="preserve"> individuata;</w:t>
      </w:r>
    </w:p>
    <w:p w14:paraId="3ABC1808" w14:textId="77777777" w:rsidR="00A83260" w:rsidRPr="00BF3063" w:rsidRDefault="00A83260" w:rsidP="00A83260">
      <w:pPr>
        <w:numPr>
          <w:ilvl w:val="0"/>
          <w:numId w:val="27"/>
        </w:numPr>
        <w:tabs>
          <w:tab w:val="left" w:pos="0"/>
        </w:tabs>
        <w:spacing w:after="0" w:line="360" w:lineRule="auto"/>
        <w:jc w:val="both"/>
        <w:rPr>
          <w:rFonts w:ascii="Times New Roman" w:hAnsi="Times New Roman" w:cs="Times New Roman"/>
          <w:sz w:val="26"/>
          <w:szCs w:val="26"/>
        </w:rPr>
      </w:pPr>
      <w:r w:rsidRPr="00BF3063">
        <w:rPr>
          <w:rFonts w:ascii="Times New Roman" w:hAnsi="Times New Roman" w:cs="Times New Roman"/>
          <w:sz w:val="26"/>
          <w:szCs w:val="26"/>
        </w:rPr>
        <w:t>preveda, sia per il Cda che per il personale, una quota dei compensi basata sui risultati ottenuti in termini di rendimenti.</w:t>
      </w:r>
    </w:p>
    <w:p w14:paraId="5CF2CE42" w14:textId="77777777" w:rsidR="00A83260" w:rsidRDefault="00A83260" w:rsidP="00A83260">
      <w:pPr>
        <w:tabs>
          <w:tab w:val="left" w:pos="0"/>
        </w:tabs>
        <w:spacing w:after="0" w:line="360" w:lineRule="auto"/>
        <w:jc w:val="both"/>
        <w:rPr>
          <w:rFonts w:ascii="Times New Roman" w:hAnsi="Times New Roman" w:cs="Times New Roman"/>
          <w:sz w:val="26"/>
          <w:szCs w:val="26"/>
        </w:rPr>
      </w:pPr>
    </w:p>
    <w:p w14:paraId="7C92DCFA" w14:textId="6A41D383" w:rsidR="0021459C" w:rsidRDefault="0021459C" w:rsidP="0021459C">
      <w:pPr>
        <w:pStyle w:val="Paragrafoelenco"/>
        <w:tabs>
          <w:tab w:val="left" w:pos="0"/>
        </w:tabs>
        <w:spacing w:after="0" w:line="360" w:lineRule="auto"/>
        <w:ind w:left="0"/>
        <w:jc w:val="center"/>
        <w:rPr>
          <w:rFonts w:ascii="Times New Roman" w:hAnsi="Times New Roman" w:cs="Times New Roman"/>
          <w:b/>
          <w:color w:val="0000FF"/>
          <w:sz w:val="26"/>
          <w:szCs w:val="26"/>
          <w:u w:val="single"/>
        </w:rPr>
      </w:pPr>
      <w:r>
        <w:rPr>
          <w:rFonts w:ascii="Times New Roman" w:hAnsi="Times New Roman" w:cs="Times New Roman"/>
          <w:b/>
          <w:color w:val="0000FF"/>
          <w:sz w:val="26"/>
          <w:szCs w:val="26"/>
          <w:u w:val="single"/>
        </w:rPr>
        <w:t xml:space="preserve">Articolo 1 </w:t>
      </w:r>
      <w:proofErr w:type="spellStart"/>
      <w:r>
        <w:rPr>
          <w:rFonts w:ascii="Times New Roman" w:hAnsi="Times New Roman" w:cs="Times New Roman"/>
          <w:b/>
          <w:color w:val="0000FF"/>
          <w:sz w:val="26"/>
          <w:szCs w:val="26"/>
          <w:u w:val="single"/>
        </w:rPr>
        <w:t>vicies</w:t>
      </w:r>
      <w:proofErr w:type="spellEnd"/>
      <w:r>
        <w:rPr>
          <w:rFonts w:ascii="Times New Roman" w:hAnsi="Times New Roman" w:cs="Times New Roman"/>
          <w:b/>
          <w:color w:val="0000FF"/>
          <w:sz w:val="26"/>
          <w:szCs w:val="26"/>
          <w:u w:val="single"/>
        </w:rPr>
        <w:t xml:space="preserve"> quater </w:t>
      </w:r>
      <w:r>
        <w:rPr>
          <w:rFonts w:ascii="Times New Roman" w:hAnsi="Times New Roman" w:cs="Times New Roman"/>
          <w:b/>
          <w:color w:val="0000FF"/>
          <w:sz w:val="26"/>
          <w:szCs w:val="26"/>
          <w:u w:val="single"/>
        </w:rPr>
        <w:t>– AGGIUNTIVO</w:t>
      </w:r>
    </w:p>
    <w:p w14:paraId="29344E7E" w14:textId="77777777" w:rsidR="0021459C" w:rsidRDefault="0021459C" w:rsidP="0021459C">
      <w:pPr>
        <w:tabs>
          <w:tab w:val="left" w:pos="0"/>
        </w:tabs>
        <w:spacing w:after="0" w:line="360" w:lineRule="auto"/>
        <w:jc w:val="center"/>
        <w:rPr>
          <w:rFonts w:ascii="Times New Roman" w:hAnsi="Times New Roman" w:cs="Times New Roman"/>
          <w:sz w:val="26"/>
          <w:szCs w:val="26"/>
        </w:rPr>
      </w:pPr>
      <w:r>
        <w:rPr>
          <w:rFonts w:ascii="Times New Roman" w:hAnsi="Times New Roman" w:cs="Times New Roman"/>
          <w:b/>
          <w:color w:val="0000FF"/>
          <w:sz w:val="26"/>
          <w:szCs w:val="26"/>
          <w:u w:val="single"/>
        </w:rPr>
        <w:t>(Sgravi per investimenti in sicurezza)</w:t>
      </w:r>
    </w:p>
    <w:p w14:paraId="56B4125C" w14:textId="77777777" w:rsidR="0021459C" w:rsidRPr="00D379D2" w:rsidRDefault="0021459C" w:rsidP="0021459C">
      <w:pPr>
        <w:pStyle w:val="Paragrafoelenco"/>
        <w:numPr>
          <w:ilvl w:val="0"/>
          <w:numId w:val="15"/>
        </w:numPr>
        <w:tabs>
          <w:tab w:val="left" w:pos="0"/>
        </w:tabs>
        <w:spacing w:after="0" w:line="360" w:lineRule="auto"/>
        <w:ind w:left="0" w:firstLine="0"/>
        <w:jc w:val="both"/>
        <w:rPr>
          <w:rFonts w:ascii="Times New Roman" w:hAnsi="Times New Roman" w:cs="Times New Roman"/>
          <w:sz w:val="26"/>
          <w:szCs w:val="26"/>
        </w:rPr>
      </w:pPr>
      <w:r w:rsidRPr="00D379D2">
        <w:rPr>
          <w:rFonts w:ascii="Times New Roman" w:hAnsi="Times New Roman" w:cs="Times New Roman"/>
          <w:sz w:val="26"/>
          <w:szCs w:val="26"/>
        </w:rPr>
        <w:t>Al fine di aumentare il grado di sicurezza delle abitazioni dei sammarinesi, coadiuvando le forze dell’ordine nell’opera di controllo del territorio e riducendo la permeabilità di quest’ultimo alle azioni di bande criminali, gli investimenti in sistemi di protezione delle abitazioni finalizzati</w:t>
      </w:r>
      <w:r w:rsidRPr="00D379D2">
        <w:rPr>
          <w:rFonts w:ascii="Verdana" w:hAnsi="Verdana"/>
          <w:color w:val="000000"/>
        </w:rPr>
        <w:t xml:space="preserve"> </w:t>
      </w:r>
      <w:r w:rsidRPr="00D379D2">
        <w:rPr>
          <w:rFonts w:ascii="Times New Roman" w:hAnsi="Times New Roman" w:cs="Times New Roman"/>
          <w:sz w:val="26"/>
          <w:szCs w:val="26"/>
        </w:rPr>
        <w:t>prevenire il rischio del compimento di atti illeciti da parte di terzi, effettuati nel corso del 2022 e negli anni successivi, sono detraibili dall’imposta generale sui redditi fino ad un massimo del 50% della spesa sostenuta, in quote di massimo 1.000€ all’anno per un massimo di 10 anni.</w:t>
      </w:r>
    </w:p>
    <w:p w14:paraId="5531446A" w14:textId="77777777" w:rsidR="0021459C" w:rsidRDefault="0021459C" w:rsidP="0021459C">
      <w:pPr>
        <w:pStyle w:val="Paragrafoelenco"/>
        <w:numPr>
          <w:ilvl w:val="0"/>
          <w:numId w:val="15"/>
        </w:numPr>
        <w:tabs>
          <w:tab w:val="left" w:pos="0"/>
        </w:tabs>
        <w:spacing w:after="0" w:line="360" w:lineRule="auto"/>
        <w:ind w:left="0" w:firstLine="0"/>
        <w:jc w:val="both"/>
        <w:rPr>
          <w:rFonts w:ascii="Times New Roman" w:hAnsi="Times New Roman" w:cs="Times New Roman"/>
          <w:sz w:val="26"/>
          <w:szCs w:val="26"/>
        </w:rPr>
      </w:pPr>
      <w:r w:rsidRPr="00D379D2">
        <w:rPr>
          <w:rFonts w:ascii="Times New Roman" w:hAnsi="Times New Roman" w:cs="Times New Roman"/>
          <w:sz w:val="26"/>
          <w:szCs w:val="26"/>
        </w:rPr>
        <w:t>Il comma 16-bis dell’Allegato A della legge n.166/2013 e successive modifiche, è abrogato.</w:t>
      </w:r>
    </w:p>
    <w:p w14:paraId="4A92CB6C" w14:textId="77777777" w:rsidR="0021459C" w:rsidRDefault="0021459C" w:rsidP="00A83260">
      <w:pPr>
        <w:tabs>
          <w:tab w:val="left" w:pos="0"/>
        </w:tabs>
        <w:spacing w:after="0" w:line="360" w:lineRule="auto"/>
        <w:jc w:val="both"/>
        <w:rPr>
          <w:rFonts w:ascii="Times New Roman" w:hAnsi="Times New Roman" w:cs="Times New Roman"/>
          <w:sz w:val="26"/>
          <w:szCs w:val="26"/>
        </w:rPr>
      </w:pPr>
    </w:p>
    <w:sectPr w:rsidR="0021459C" w:rsidSect="00D77BEE">
      <w:pgSz w:w="11900" w:h="16840"/>
      <w:pgMar w:top="851" w:right="1410" w:bottom="1276"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07275"/>
    <w:multiLevelType w:val="hybridMultilevel"/>
    <w:tmpl w:val="856C23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094548C"/>
    <w:multiLevelType w:val="hybridMultilevel"/>
    <w:tmpl w:val="8E6E8FD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01193F01"/>
    <w:multiLevelType w:val="hybridMultilevel"/>
    <w:tmpl w:val="7BD29D74"/>
    <w:lvl w:ilvl="0" w:tplc="B7EC7334">
      <w:start w:val="1"/>
      <w:numFmt w:val="lowerLetter"/>
      <w:lvlText w:val="%1)"/>
      <w:lvlJc w:val="left"/>
      <w:pPr>
        <w:ind w:left="720" w:hanging="360"/>
      </w:pPr>
      <w:rPr>
        <w:rFonts w:ascii="Times New Roman" w:hAnsi="Times New Roman" w:cs="Times New Roman" w:hint="default"/>
        <w:b w:val="0"/>
        <w:bCs/>
        <w:i w:val="0"/>
        <w:w w:val="99"/>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054D014B"/>
    <w:multiLevelType w:val="hybridMultilevel"/>
    <w:tmpl w:val="5072824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0577688B"/>
    <w:multiLevelType w:val="hybridMultilevel"/>
    <w:tmpl w:val="E30AAB5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061A52BB"/>
    <w:multiLevelType w:val="hybridMultilevel"/>
    <w:tmpl w:val="889092EE"/>
    <w:lvl w:ilvl="0" w:tplc="0410000F">
      <w:start w:val="1"/>
      <w:numFmt w:val="decimal"/>
      <w:lvlText w:val="%1."/>
      <w:lvlJc w:val="left"/>
      <w:pPr>
        <w:ind w:left="2880" w:hanging="360"/>
      </w:pPr>
    </w:lvl>
    <w:lvl w:ilvl="1" w:tplc="04100019">
      <w:start w:val="1"/>
      <w:numFmt w:val="lowerLetter"/>
      <w:lvlText w:val="%2."/>
      <w:lvlJc w:val="left"/>
      <w:pPr>
        <w:ind w:left="3600" w:hanging="360"/>
      </w:pPr>
    </w:lvl>
    <w:lvl w:ilvl="2" w:tplc="0410001B">
      <w:start w:val="1"/>
      <w:numFmt w:val="lowerRoman"/>
      <w:lvlText w:val="%3."/>
      <w:lvlJc w:val="right"/>
      <w:pPr>
        <w:ind w:left="4320" w:hanging="180"/>
      </w:pPr>
    </w:lvl>
    <w:lvl w:ilvl="3" w:tplc="0410000F">
      <w:start w:val="1"/>
      <w:numFmt w:val="decimal"/>
      <w:lvlText w:val="%4."/>
      <w:lvlJc w:val="left"/>
      <w:pPr>
        <w:ind w:left="5040" w:hanging="360"/>
      </w:pPr>
    </w:lvl>
    <w:lvl w:ilvl="4" w:tplc="04100019">
      <w:start w:val="1"/>
      <w:numFmt w:val="lowerLetter"/>
      <w:lvlText w:val="%5."/>
      <w:lvlJc w:val="left"/>
      <w:pPr>
        <w:ind w:left="5760" w:hanging="360"/>
      </w:pPr>
    </w:lvl>
    <w:lvl w:ilvl="5" w:tplc="0410001B">
      <w:start w:val="1"/>
      <w:numFmt w:val="lowerRoman"/>
      <w:lvlText w:val="%6."/>
      <w:lvlJc w:val="right"/>
      <w:pPr>
        <w:ind w:left="6480" w:hanging="180"/>
      </w:pPr>
    </w:lvl>
    <w:lvl w:ilvl="6" w:tplc="0410000F">
      <w:start w:val="1"/>
      <w:numFmt w:val="decimal"/>
      <w:lvlText w:val="%7."/>
      <w:lvlJc w:val="left"/>
      <w:pPr>
        <w:ind w:left="7200" w:hanging="360"/>
      </w:pPr>
    </w:lvl>
    <w:lvl w:ilvl="7" w:tplc="04100019">
      <w:start w:val="1"/>
      <w:numFmt w:val="lowerLetter"/>
      <w:lvlText w:val="%8."/>
      <w:lvlJc w:val="left"/>
      <w:pPr>
        <w:ind w:left="7920" w:hanging="360"/>
      </w:pPr>
    </w:lvl>
    <w:lvl w:ilvl="8" w:tplc="0410001B">
      <w:start w:val="1"/>
      <w:numFmt w:val="lowerRoman"/>
      <w:lvlText w:val="%9."/>
      <w:lvlJc w:val="right"/>
      <w:pPr>
        <w:ind w:left="8640" w:hanging="180"/>
      </w:pPr>
    </w:lvl>
  </w:abstractNum>
  <w:abstractNum w:abstractNumId="6">
    <w:nsid w:val="07EE65A3"/>
    <w:multiLevelType w:val="hybridMultilevel"/>
    <w:tmpl w:val="296A44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BB42C14"/>
    <w:multiLevelType w:val="hybridMultilevel"/>
    <w:tmpl w:val="2EE0AA9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0C886395"/>
    <w:multiLevelType w:val="hybridMultilevel"/>
    <w:tmpl w:val="2034EB2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nsid w:val="0E894575"/>
    <w:multiLevelType w:val="hybridMultilevel"/>
    <w:tmpl w:val="D3446E12"/>
    <w:lvl w:ilvl="0" w:tplc="B7EC7334">
      <w:start w:val="1"/>
      <w:numFmt w:val="lowerLetter"/>
      <w:lvlText w:val="%1)"/>
      <w:lvlJc w:val="left"/>
      <w:pPr>
        <w:ind w:left="720" w:hanging="360"/>
      </w:pPr>
      <w:rPr>
        <w:rFonts w:ascii="Times New Roman" w:hAnsi="Times New Roman" w:cs="Times New Roman" w:hint="default"/>
        <w:b w:val="0"/>
        <w:bCs/>
        <w:i w:val="0"/>
        <w:w w:val="99"/>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0FB5497A"/>
    <w:multiLevelType w:val="hybridMultilevel"/>
    <w:tmpl w:val="250A3B1E"/>
    <w:lvl w:ilvl="0" w:tplc="B7EC7334">
      <w:start w:val="1"/>
      <w:numFmt w:val="lowerLetter"/>
      <w:lvlText w:val="%1)"/>
      <w:lvlJc w:val="left"/>
      <w:pPr>
        <w:ind w:left="720" w:hanging="360"/>
      </w:pPr>
      <w:rPr>
        <w:rFonts w:ascii="Times New Roman" w:hAnsi="Times New Roman" w:cs="Times New Roman" w:hint="default"/>
        <w:b w:val="0"/>
        <w:bCs/>
        <w:i w:val="0"/>
        <w:w w:val="99"/>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nsid w:val="1A195CC7"/>
    <w:multiLevelType w:val="hybridMultilevel"/>
    <w:tmpl w:val="1E5AE39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nsid w:val="1A40326D"/>
    <w:multiLevelType w:val="hybridMultilevel"/>
    <w:tmpl w:val="8DEE8518"/>
    <w:lvl w:ilvl="0" w:tplc="03DEC790">
      <w:start w:val="1"/>
      <w:numFmt w:val="decimal"/>
      <w:lvlText w:val="%1."/>
      <w:lvlJc w:val="left"/>
      <w:pPr>
        <w:ind w:left="720" w:hanging="360"/>
      </w:pPr>
      <w:rPr>
        <w:rFonts w:hint="default"/>
        <w:b w:val="0"/>
        <w:bCs/>
        <w:i w:val="0"/>
        <w:spacing w:val="-25"/>
        <w:w w:val="99"/>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4F16C68"/>
    <w:multiLevelType w:val="hybridMultilevel"/>
    <w:tmpl w:val="36B66E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5C52840"/>
    <w:multiLevelType w:val="hybridMultilevel"/>
    <w:tmpl w:val="9A1E085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nsid w:val="26C33FBD"/>
    <w:multiLevelType w:val="hybridMultilevel"/>
    <w:tmpl w:val="59929B3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nsid w:val="27430256"/>
    <w:multiLevelType w:val="hybridMultilevel"/>
    <w:tmpl w:val="9A1E085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nsid w:val="28B605E2"/>
    <w:multiLevelType w:val="hybridMultilevel"/>
    <w:tmpl w:val="D65AD73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9DF1D4E"/>
    <w:multiLevelType w:val="hybridMultilevel"/>
    <w:tmpl w:val="BCDCF94E"/>
    <w:lvl w:ilvl="0" w:tplc="B7EC7334">
      <w:start w:val="1"/>
      <w:numFmt w:val="lowerLetter"/>
      <w:lvlText w:val="%1)"/>
      <w:lvlJc w:val="left"/>
      <w:pPr>
        <w:ind w:left="720" w:hanging="360"/>
      </w:pPr>
      <w:rPr>
        <w:rFonts w:ascii="Times New Roman" w:hAnsi="Times New Roman" w:cs="Times New Roman" w:hint="default"/>
        <w:b w:val="0"/>
        <w:bCs/>
        <w:i w:val="0"/>
        <w:w w:val="99"/>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nsid w:val="2E8E4C89"/>
    <w:multiLevelType w:val="hybridMultilevel"/>
    <w:tmpl w:val="CA5A8CBA"/>
    <w:lvl w:ilvl="0" w:tplc="B7EC7334">
      <w:start w:val="1"/>
      <w:numFmt w:val="lowerLetter"/>
      <w:lvlText w:val="%1)"/>
      <w:lvlJc w:val="left"/>
      <w:pPr>
        <w:ind w:left="720" w:hanging="360"/>
      </w:pPr>
      <w:rPr>
        <w:rFonts w:ascii="Times New Roman" w:hAnsi="Times New Roman" w:cs="Times New Roman" w:hint="default"/>
        <w:b w:val="0"/>
        <w:bCs/>
        <w:i w:val="0"/>
        <w:w w:val="99"/>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nsid w:val="31496ED1"/>
    <w:multiLevelType w:val="hybridMultilevel"/>
    <w:tmpl w:val="E2E27DF2"/>
    <w:lvl w:ilvl="0" w:tplc="0410000F">
      <w:start w:val="1"/>
      <w:numFmt w:val="decimal"/>
      <w:lvlText w:val="%1."/>
      <w:lvlJc w:val="left"/>
      <w:pPr>
        <w:ind w:left="720" w:hanging="360"/>
      </w:pPr>
      <w:rPr>
        <w:b w:val="0"/>
        <w:bCs/>
        <w:i w:val="0"/>
        <w:w w:val="99"/>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nsid w:val="32702160"/>
    <w:multiLevelType w:val="hybridMultilevel"/>
    <w:tmpl w:val="049880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66445F4"/>
    <w:multiLevelType w:val="hybridMultilevel"/>
    <w:tmpl w:val="8A12802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nsid w:val="38D87BF2"/>
    <w:multiLevelType w:val="hybridMultilevel"/>
    <w:tmpl w:val="889092EE"/>
    <w:lvl w:ilvl="0" w:tplc="0410000F">
      <w:start w:val="1"/>
      <w:numFmt w:val="decimal"/>
      <w:lvlText w:val="%1."/>
      <w:lvlJc w:val="left"/>
      <w:pPr>
        <w:ind w:left="2880" w:hanging="360"/>
      </w:pPr>
    </w:lvl>
    <w:lvl w:ilvl="1" w:tplc="04100019">
      <w:start w:val="1"/>
      <w:numFmt w:val="lowerLetter"/>
      <w:lvlText w:val="%2."/>
      <w:lvlJc w:val="left"/>
      <w:pPr>
        <w:ind w:left="3600" w:hanging="360"/>
      </w:pPr>
    </w:lvl>
    <w:lvl w:ilvl="2" w:tplc="0410001B">
      <w:start w:val="1"/>
      <w:numFmt w:val="lowerRoman"/>
      <w:lvlText w:val="%3."/>
      <w:lvlJc w:val="right"/>
      <w:pPr>
        <w:ind w:left="4320" w:hanging="180"/>
      </w:pPr>
    </w:lvl>
    <w:lvl w:ilvl="3" w:tplc="0410000F">
      <w:start w:val="1"/>
      <w:numFmt w:val="decimal"/>
      <w:lvlText w:val="%4."/>
      <w:lvlJc w:val="left"/>
      <w:pPr>
        <w:ind w:left="5040" w:hanging="360"/>
      </w:pPr>
    </w:lvl>
    <w:lvl w:ilvl="4" w:tplc="04100019">
      <w:start w:val="1"/>
      <w:numFmt w:val="lowerLetter"/>
      <w:lvlText w:val="%5."/>
      <w:lvlJc w:val="left"/>
      <w:pPr>
        <w:ind w:left="5760" w:hanging="360"/>
      </w:pPr>
    </w:lvl>
    <w:lvl w:ilvl="5" w:tplc="0410001B">
      <w:start w:val="1"/>
      <w:numFmt w:val="lowerRoman"/>
      <w:lvlText w:val="%6."/>
      <w:lvlJc w:val="right"/>
      <w:pPr>
        <w:ind w:left="6480" w:hanging="180"/>
      </w:pPr>
    </w:lvl>
    <w:lvl w:ilvl="6" w:tplc="0410000F">
      <w:start w:val="1"/>
      <w:numFmt w:val="decimal"/>
      <w:lvlText w:val="%7."/>
      <w:lvlJc w:val="left"/>
      <w:pPr>
        <w:ind w:left="7200" w:hanging="360"/>
      </w:pPr>
    </w:lvl>
    <w:lvl w:ilvl="7" w:tplc="04100019">
      <w:start w:val="1"/>
      <w:numFmt w:val="lowerLetter"/>
      <w:lvlText w:val="%8."/>
      <w:lvlJc w:val="left"/>
      <w:pPr>
        <w:ind w:left="7920" w:hanging="360"/>
      </w:pPr>
    </w:lvl>
    <w:lvl w:ilvl="8" w:tplc="0410001B">
      <w:start w:val="1"/>
      <w:numFmt w:val="lowerRoman"/>
      <w:lvlText w:val="%9."/>
      <w:lvlJc w:val="right"/>
      <w:pPr>
        <w:ind w:left="8640" w:hanging="180"/>
      </w:pPr>
    </w:lvl>
  </w:abstractNum>
  <w:abstractNum w:abstractNumId="24">
    <w:nsid w:val="3C73534D"/>
    <w:multiLevelType w:val="hybridMultilevel"/>
    <w:tmpl w:val="D67C15B8"/>
    <w:lvl w:ilvl="0" w:tplc="0410000F">
      <w:start w:val="1"/>
      <w:numFmt w:val="decimal"/>
      <w:lvlText w:val="%1."/>
      <w:lvlJc w:val="left"/>
      <w:pPr>
        <w:ind w:left="720" w:hanging="360"/>
      </w:pPr>
      <w:rPr>
        <w:rFonts w:hint="default"/>
        <w:b w:val="0"/>
        <w:bCs/>
        <w:i w:val="0"/>
        <w:w w:val="99"/>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0FF4720"/>
    <w:multiLevelType w:val="hybridMultilevel"/>
    <w:tmpl w:val="C8424690"/>
    <w:lvl w:ilvl="0" w:tplc="0410000F">
      <w:start w:val="1"/>
      <w:numFmt w:val="decimal"/>
      <w:lvlText w:val="%1."/>
      <w:lvlJc w:val="left"/>
      <w:pPr>
        <w:ind w:left="720" w:hanging="360"/>
      </w:pPr>
      <w:rPr>
        <w:b w:val="0"/>
        <w:bCs/>
        <w:i w:val="0"/>
        <w:w w:val="99"/>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nsid w:val="485C29D3"/>
    <w:multiLevelType w:val="hybridMultilevel"/>
    <w:tmpl w:val="76028DC2"/>
    <w:lvl w:ilvl="0" w:tplc="B7EC7334">
      <w:start w:val="1"/>
      <w:numFmt w:val="lowerLetter"/>
      <w:lvlText w:val="%1)"/>
      <w:lvlJc w:val="left"/>
      <w:pPr>
        <w:ind w:left="720" w:hanging="360"/>
      </w:pPr>
      <w:rPr>
        <w:rFonts w:ascii="Times New Roman" w:hAnsi="Times New Roman" w:cs="Times New Roman" w:hint="default"/>
        <w:b w:val="0"/>
        <w:bCs/>
        <w:i w:val="0"/>
        <w:spacing w:val="-25"/>
        <w:w w:val="99"/>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87B6BC6"/>
    <w:multiLevelType w:val="hybridMultilevel"/>
    <w:tmpl w:val="9808E8F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nsid w:val="498F2E63"/>
    <w:multiLevelType w:val="hybridMultilevel"/>
    <w:tmpl w:val="2EE0AA9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nsid w:val="4D9C2613"/>
    <w:multiLevelType w:val="hybridMultilevel"/>
    <w:tmpl w:val="10F4E5F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nsid w:val="505E5D1B"/>
    <w:multiLevelType w:val="hybridMultilevel"/>
    <w:tmpl w:val="20E420BC"/>
    <w:lvl w:ilvl="0" w:tplc="B7EC7334">
      <w:start w:val="1"/>
      <w:numFmt w:val="lowerLetter"/>
      <w:lvlText w:val="%1)"/>
      <w:lvlJc w:val="left"/>
      <w:pPr>
        <w:ind w:left="720" w:hanging="360"/>
      </w:pPr>
      <w:rPr>
        <w:rFonts w:ascii="Times New Roman" w:hAnsi="Times New Roman" w:cs="Times New Roman" w:hint="default"/>
        <w:b w:val="0"/>
        <w:bCs/>
        <w:i w:val="0"/>
        <w:w w:val="99"/>
        <w:sz w:val="24"/>
        <w:szCs w:val="24"/>
      </w:rPr>
    </w:lvl>
    <w:lvl w:ilvl="1" w:tplc="46D0F99C">
      <w:numFmt w:val="bullet"/>
      <w:lvlText w:val="-"/>
      <w:lvlJc w:val="left"/>
      <w:pPr>
        <w:ind w:left="1440" w:hanging="360"/>
      </w:pPr>
      <w:rPr>
        <w:rFonts w:ascii="Times New Roman" w:eastAsiaTheme="minorEastAsia"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0100F32"/>
    <w:multiLevelType w:val="hybridMultilevel"/>
    <w:tmpl w:val="32E8584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2">
    <w:nsid w:val="62B46B94"/>
    <w:multiLevelType w:val="hybridMultilevel"/>
    <w:tmpl w:val="AD32D6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48472DE"/>
    <w:multiLevelType w:val="hybridMultilevel"/>
    <w:tmpl w:val="B80663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51F221D"/>
    <w:multiLevelType w:val="hybridMultilevel"/>
    <w:tmpl w:val="049880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5A53FE5"/>
    <w:multiLevelType w:val="hybridMultilevel"/>
    <w:tmpl w:val="093CA1C6"/>
    <w:lvl w:ilvl="0" w:tplc="B7EC7334">
      <w:start w:val="1"/>
      <w:numFmt w:val="lowerLetter"/>
      <w:lvlText w:val="%1)"/>
      <w:lvlJc w:val="left"/>
      <w:pPr>
        <w:ind w:left="720" w:hanging="360"/>
      </w:pPr>
      <w:rPr>
        <w:rFonts w:ascii="Times New Roman" w:hAnsi="Times New Roman" w:cs="Times New Roman" w:hint="default"/>
        <w:b w:val="0"/>
        <w:bCs/>
        <w:i w:val="0"/>
        <w:w w:val="99"/>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6">
    <w:nsid w:val="6ED00045"/>
    <w:multiLevelType w:val="hybridMultilevel"/>
    <w:tmpl w:val="1CDC7E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32E6984"/>
    <w:multiLevelType w:val="hybridMultilevel"/>
    <w:tmpl w:val="32789EFE"/>
    <w:lvl w:ilvl="0" w:tplc="A1826104">
      <w:start w:val="1"/>
      <w:numFmt w:val="decimal"/>
      <w:lvlText w:val="%1."/>
      <w:lvlJc w:val="left"/>
      <w:pPr>
        <w:ind w:left="383" w:hanging="284"/>
      </w:pPr>
      <w:rPr>
        <w:rFonts w:ascii="Times New Roman" w:hAnsi="Times New Roman" w:cs="Garamond" w:hint="default"/>
        <w:b w:val="0"/>
        <w:bCs/>
        <w:i w:val="0"/>
        <w:spacing w:val="-19"/>
        <w:w w:val="99"/>
        <w:sz w:val="24"/>
        <w:szCs w:val="24"/>
      </w:rPr>
    </w:lvl>
    <w:lvl w:ilvl="1" w:tplc="330222CA">
      <w:start w:val="1"/>
      <w:numFmt w:val="lowerLetter"/>
      <w:lvlText w:val="%2)"/>
      <w:lvlJc w:val="left"/>
      <w:pPr>
        <w:ind w:left="667" w:hanging="284"/>
      </w:pPr>
      <w:rPr>
        <w:rFonts w:ascii="Times New Roman" w:eastAsia="Times New Roman" w:hAnsi="Times New Roman" w:cs="Times New Roman" w:hint="default"/>
        <w:b/>
        <w:bCs/>
        <w:w w:val="99"/>
        <w:sz w:val="24"/>
        <w:szCs w:val="24"/>
      </w:rPr>
    </w:lvl>
    <w:lvl w:ilvl="2" w:tplc="0166EB1A">
      <w:numFmt w:val="bullet"/>
      <w:lvlText w:val="•"/>
      <w:lvlJc w:val="left"/>
      <w:pPr>
        <w:ind w:left="1613" w:hanging="284"/>
      </w:pPr>
      <w:rPr>
        <w:rFonts w:hint="default"/>
      </w:rPr>
    </w:lvl>
    <w:lvl w:ilvl="3" w:tplc="FD7C3794">
      <w:numFmt w:val="bullet"/>
      <w:lvlText w:val="•"/>
      <w:lvlJc w:val="left"/>
      <w:pPr>
        <w:ind w:left="2567" w:hanging="284"/>
      </w:pPr>
      <w:rPr>
        <w:rFonts w:hint="default"/>
      </w:rPr>
    </w:lvl>
    <w:lvl w:ilvl="4" w:tplc="AD200F28">
      <w:numFmt w:val="bullet"/>
      <w:lvlText w:val="•"/>
      <w:lvlJc w:val="left"/>
      <w:pPr>
        <w:ind w:left="3521" w:hanging="284"/>
      </w:pPr>
      <w:rPr>
        <w:rFonts w:hint="default"/>
      </w:rPr>
    </w:lvl>
    <w:lvl w:ilvl="5" w:tplc="EBC6A4CA">
      <w:numFmt w:val="bullet"/>
      <w:lvlText w:val="•"/>
      <w:lvlJc w:val="left"/>
      <w:pPr>
        <w:ind w:left="4475" w:hanging="284"/>
      </w:pPr>
      <w:rPr>
        <w:rFonts w:hint="default"/>
      </w:rPr>
    </w:lvl>
    <w:lvl w:ilvl="6" w:tplc="48102262">
      <w:numFmt w:val="bullet"/>
      <w:lvlText w:val="•"/>
      <w:lvlJc w:val="left"/>
      <w:pPr>
        <w:ind w:left="5428" w:hanging="284"/>
      </w:pPr>
      <w:rPr>
        <w:rFonts w:hint="default"/>
      </w:rPr>
    </w:lvl>
    <w:lvl w:ilvl="7" w:tplc="7F58DB36">
      <w:numFmt w:val="bullet"/>
      <w:lvlText w:val="•"/>
      <w:lvlJc w:val="left"/>
      <w:pPr>
        <w:ind w:left="6382" w:hanging="284"/>
      </w:pPr>
      <w:rPr>
        <w:rFonts w:hint="default"/>
      </w:rPr>
    </w:lvl>
    <w:lvl w:ilvl="8" w:tplc="542CAD0E">
      <w:numFmt w:val="bullet"/>
      <w:lvlText w:val="•"/>
      <w:lvlJc w:val="left"/>
      <w:pPr>
        <w:ind w:left="7336" w:hanging="284"/>
      </w:pPr>
      <w:rPr>
        <w:rFonts w:hint="default"/>
      </w:rPr>
    </w:lvl>
  </w:abstractNum>
  <w:abstractNum w:abstractNumId="38">
    <w:nsid w:val="75E11750"/>
    <w:multiLevelType w:val="hybridMultilevel"/>
    <w:tmpl w:val="409C2566"/>
    <w:lvl w:ilvl="0" w:tplc="B7EC7334">
      <w:start w:val="1"/>
      <w:numFmt w:val="lowerLetter"/>
      <w:lvlText w:val="%1)"/>
      <w:lvlJc w:val="left"/>
      <w:pPr>
        <w:ind w:left="720" w:hanging="360"/>
      </w:pPr>
      <w:rPr>
        <w:rFonts w:ascii="Times New Roman" w:hAnsi="Times New Roman" w:cs="Times New Roman" w:hint="default"/>
        <w:b w:val="0"/>
        <w:bCs/>
        <w:i w:val="0"/>
        <w:w w:val="99"/>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9">
    <w:nsid w:val="77AF409F"/>
    <w:multiLevelType w:val="hybridMultilevel"/>
    <w:tmpl w:val="59929B3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0">
    <w:nsid w:val="7E31785D"/>
    <w:multiLevelType w:val="hybridMultilevel"/>
    <w:tmpl w:val="2EE0AA9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17"/>
  </w:num>
  <w:num w:numId="11">
    <w:abstractNumId w:val="9"/>
  </w:num>
  <w:num w:numId="12">
    <w:abstractNumId w:val="8"/>
  </w:num>
  <w:num w:numId="13">
    <w:abstractNumId w:val="12"/>
  </w:num>
  <w:num w:numId="14">
    <w:abstractNumId w:val="26"/>
  </w:num>
  <w:num w:numId="15">
    <w:abstractNumId w:val="14"/>
  </w:num>
  <w:num w:numId="16">
    <w:abstractNumId w:val="37"/>
  </w:num>
  <w:num w:numId="17">
    <w:abstractNumId w:val="13"/>
  </w:num>
  <w:num w:numId="18">
    <w:abstractNumId w:val="16"/>
  </w:num>
  <w:num w:numId="19">
    <w:abstractNumId w:val="0"/>
  </w:num>
  <w:num w:numId="20">
    <w:abstractNumId w:val="30"/>
  </w:num>
  <w:num w:numId="21">
    <w:abstractNumId w:val="24"/>
  </w:num>
  <w:num w:numId="22">
    <w:abstractNumId w:val="32"/>
  </w:num>
  <w:num w:numId="23">
    <w:abstractNumId w:val="21"/>
  </w:num>
  <w:num w:numId="24">
    <w:abstractNumId w:val="34"/>
  </w:num>
  <w:num w:numId="25">
    <w:abstractNumId w:val="22"/>
  </w:num>
  <w:num w:numId="26">
    <w:abstractNumId w:val="39"/>
  </w:num>
  <w:num w:numId="27">
    <w:abstractNumId w:val="11"/>
  </w:num>
  <w:num w:numId="28">
    <w:abstractNumId w:val="5"/>
  </w:num>
  <w:num w:numId="29">
    <w:abstractNumId w:val="3"/>
  </w:num>
  <w:num w:numId="30">
    <w:abstractNumId w:val="31"/>
  </w:num>
  <w:num w:numId="31">
    <w:abstractNumId w:val="7"/>
  </w:num>
  <w:num w:numId="32">
    <w:abstractNumId w:val="28"/>
  </w:num>
  <w:num w:numId="33">
    <w:abstractNumId w:val="27"/>
  </w:num>
  <w:num w:numId="34">
    <w:abstractNumId w:val="2"/>
  </w:num>
  <w:num w:numId="35">
    <w:abstractNumId w:val="40"/>
  </w:num>
  <w:num w:numId="36">
    <w:abstractNumId w:val="33"/>
  </w:num>
  <w:num w:numId="37">
    <w:abstractNumId w:val="1"/>
  </w:num>
  <w:num w:numId="38">
    <w:abstractNumId w:val="10"/>
  </w:num>
  <w:num w:numId="39">
    <w:abstractNumId w:val="15"/>
  </w:num>
  <w:num w:numId="40">
    <w:abstractNumId w:val="23"/>
  </w:num>
  <w:num w:numId="41">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05A"/>
    <w:rsid w:val="000722F6"/>
    <w:rsid w:val="000F3B0B"/>
    <w:rsid w:val="0010766E"/>
    <w:rsid w:val="001115BE"/>
    <w:rsid w:val="001146BE"/>
    <w:rsid w:val="00143EB5"/>
    <w:rsid w:val="0021459C"/>
    <w:rsid w:val="00260699"/>
    <w:rsid w:val="002903CD"/>
    <w:rsid w:val="00295633"/>
    <w:rsid w:val="003450B4"/>
    <w:rsid w:val="00345573"/>
    <w:rsid w:val="004542D8"/>
    <w:rsid w:val="005214BF"/>
    <w:rsid w:val="00615917"/>
    <w:rsid w:val="00687FE8"/>
    <w:rsid w:val="00697B3A"/>
    <w:rsid w:val="007162D1"/>
    <w:rsid w:val="007B28B5"/>
    <w:rsid w:val="008161BB"/>
    <w:rsid w:val="00877ADB"/>
    <w:rsid w:val="00954092"/>
    <w:rsid w:val="009A34F3"/>
    <w:rsid w:val="009E4D94"/>
    <w:rsid w:val="00A45709"/>
    <w:rsid w:val="00A46BF4"/>
    <w:rsid w:val="00A83260"/>
    <w:rsid w:val="00BC0068"/>
    <w:rsid w:val="00BE4481"/>
    <w:rsid w:val="00CD705A"/>
    <w:rsid w:val="00CE0E48"/>
    <w:rsid w:val="00CE5269"/>
    <w:rsid w:val="00D6136C"/>
    <w:rsid w:val="00D77BEE"/>
    <w:rsid w:val="00E15B24"/>
    <w:rsid w:val="00EF7C98"/>
    <w:rsid w:val="00F26B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39F3A"/>
  <w15:docId w15:val="{CE9D4500-C8E6-4BEA-8149-0FBE8CB39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766E"/>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16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41299">
      <w:bodyDiv w:val="1"/>
      <w:marLeft w:val="0"/>
      <w:marRight w:val="0"/>
      <w:marTop w:val="0"/>
      <w:marBottom w:val="0"/>
      <w:divBdr>
        <w:top w:val="none" w:sz="0" w:space="0" w:color="auto"/>
        <w:left w:val="none" w:sz="0" w:space="0" w:color="auto"/>
        <w:bottom w:val="none" w:sz="0" w:space="0" w:color="auto"/>
        <w:right w:val="none" w:sz="0" w:space="0" w:color="auto"/>
      </w:divBdr>
    </w:div>
    <w:div w:id="634604067">
      <w:bodyDiv w:val="1"/>
      <w:marLeft w:val="0"/>
      <w:marRight w:val="0"/>
      <w:marTop w:val="0"/>
      <w:marBottom w:val="0"/>
      <w:divBdr>
        <w:top w:val="none" w:sz="0" w:space="0" w:color="auto"/>
        <w:left w:val="none" w:sz="0" w:space="0" w:color="auto"/>
        <w:bottom w:val="none" w:sz="0" w:space="0" w:color="auto"/>
        <w:right w:val="none" w:sz="0" w:space="0" w:color="auto"/>
      </w:divBdr>
    </w:div>
    <w:div w:id="680280076">
      <w:bodyDiv w:val="1"/>
      <w:marLeft w:val="0"/>
      <w:marRight w:val="0"/>
      <w:marTop w:val="0"/>
      <w:marBottom w:val="0"/>
      <w:divBdr>
        <w:top w:val="none" w:sz="0" w:space="0" w:color="auto"/>
        <w:left w:val="none" w:sz="0" w:space="0" w:color="auto"/>
        <w:bottom w:val="none" w:sz="0" w:space="0" w:color="auto"/>
        <w:right w:val="none" w:sz="0" w:space="0" w:color="auto"/>
      </w:divBdr>
    </w:div>
    <w:div w:id="1325742818">
      <w:bodyDiv w:val="1"/>
      <w:marLeft w:val="0"/>
      <w:marRight w:val="0"/>
      <w:marTop w:val="0"/>
      <w:marBottom w:val="0"/>
      <w:divBdr>
        <w:top w:val="none" w:sz="0" w:space="0" w:color="auto"/>
        <w:left w:val="none" w:sz="0" w:space="0" w:color="auto"/>
        <w:bottom w:val="none" w:sz="0" w:space="0" w:color="auto"/>
        <w:right w:val="none" w:sz="0" w:space="0" w:color="auto"/>
      </w:divBdr>
    </w:div>
    <w:div w:id="1418013745">
      <w:bodyDiv w:val="1"/>
      <w:marLeft w:val="0"/>
      <w:marRight w:val="0"/>
      <w:marTop w:val="0"/>
      <w:marBottom w:val="0"/>
      <w:divBdr>
        <w:top w:val="none" w:sz="0" w:space="0" w:color="auto"/>
        <w:left w:val="none" w:sz="0" w:space="0" w:color="auto"/>
        <w:bottom w:val="none" w:sz="0" w:space="0" w:color="auto"/>
        <w:right w:val="none" w:sz="0" w:space="0" w:color="auto"/>
      </w:divBdr>
    </w:div>
    <w:div w:id="2082480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3685</Words>
  <Characters>21009</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lastModifiedBy>Andrea Zafferani</cp:lastModifiedBy>
  <cp:revision>4</cp:revision>
  <cp:lastPrinted>2022-12-16T09:32:00Z</cp:lastPrinted>
  <dcterms:created xsi:type="dcterms:W3CDTF">2022-12-16T11:09:00Z</dcterms:created>
  <dcterms:modified xsi:type="dcterms:W3CDTF">2022-12-16T11:15:00Z</dcterms:modified>
</cp:coreProperties>
</file>